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5846" w:rsidRDefault="00D25846" w:rsidP="00D25846">
      <w:pPr>
        <w:jc w:val="center"/>
        <w:rPr>
          <w:noProof/>
          <w:lang w:eastAsia="en-AU"/>
        </w:rPr>
      </w:pPr>
    </w:p>
    <w:p w:rsidR="00D25846" w:rsidRDefault="002C3D2E" w:rsidP="00D25846">
      <w:pPr>
        <w:jc w:val="center"/>
      </w:pPr>
      <w:r>
        <w:rPr>
          <w:noProof/>
          <w:lang w:eastAsia="en-A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6.35pt;height:57pt;visibility:visible">
            <v:imagedata r:id="rId8" o:title="D11 2281819  AER Logo Outlined type Large colour"/>
          </v:shape>
        </w:pict>
      </w:r>
    </w:p>
    <w:p w:rsidR="00D25846" w:rsidRDefault="00D25846" w:rsidP="00D25846">
      <w:pPr>
        <w:spacing w:after="200" w:line="276" w:lineRule="auto"/>
        <w:jc w:val="center"/>
        <w:rPr>
          <w:rFonts w:ascii="Arial" w:hAnsi="Arial"/>
          <w:caps/>
          <w:color w:val="F79F57"/>
          <w:sz w:val="40"/>
        </w:rPr>
      </w:pPr>
      <w:r w:rsidRPr="001A22A7">
        <w:rPr>
          <w:rFonts w:ascii="Arial" w:hAnsi="Arial"/>
          <w:caps/>
          <w:color w:val="F79F57"/>
          <w:sz w:val="40"/>
        </w:rPr>
        <w:t>Better Regulation</w:t>
      </w:r>
    </w:p>
    <w:p w:rsidR="00D25846" w:rsidRDefault="00D25846" w:rsidP="00D25846">
      <w:pPr>
        <w:spacing w:after="200" w:line="276" w:lineRule="auto"/>
        <w:jc w:val="center"/>
        <w:rPr>
          <w:b/>
          <w:sz w:val="36"/>
        </w:rPr>
      </w:pPr>
      <w:r>
        <w:rPr>
          <w:b/>
          <w:sz w:val="36"/>
        </w:rPr>
        <w:t xml:space="preserve">Expenditure forecasting assessment </w:t>
      </w:r>
      <w:r w:rsidR="00FC601E">
        <w:rPr>
          <w:b/>
          <w:sz w:val="36"/>
        </w:rPr>
        <w:t>roundtable</w:t>
      </w:r>
    </w:p>
    <w:p w:rsidR="00D25846" w:rsidRDefault="00D25846" w:rsidP="00D25846">
      <w:pPr>
        <w:pStyle w:val="AERbodytextnospace"/>
        <w:pBdr>
          <w:bottom w:val="single" w:sz="6" w:space="1" w:color="auto"/>
        </w:pBdr>
        <w:rPr>
          <w:rStyle w:val="AERtextbold"/>
        </w:rPr>
      </w:pPr>
    </w:p>
    <w:p w:rsidR="00D25846" w:rsidRDefault="00D25846" w:rsidP="00D25846">
      <w:pPr>
        <w:pStyle w:val="AERbodytextnospace"/>
        <w:rPr>
          <w:rStyle w:val="AERtextbold"/>
        </w:rPr>
      </w:pPr>
    </w:p>
    <w:p w:rsidR="00D25846" w:rsidRDefault="00D25846" w:rsidP="00D25846">
      <w:pPr>
        <w:pStyle w:val="AERbodytextnospace"/>
      </w:pPr>
      <w:r w:rsidRPr="0052417E">
        <w:rPr>
          <w:rStyle w:val="AERtextbold"/>
        </w:rPr>
        <w:t>Date:</w:t>
      </w:r>
      <w:r w:rsidRPr="0052417E">
        <w:tab/>
      </w:r>
      <w:r w:rsidRPr="0052417E">
        <w:tab/>
      </w:r>
      <w:r>
        <w:tab/>
      </w:r>
      <w:r w:rsidRPr="0052417E">
        <w:t xml:space="preserve">Tuesday, </w:t>
      </w:r>
      <w:r>
        <w:t>12 February 2013, 13:00 to 16:30</w:t>
      </w:r>
    </w:p>
    <w:p w:rsidR="00D25846" w:rsidRPr="0052417E" w:rsidRDefault="00D25846" w:rsidP="00D25846">
      <w:pPr>
        <w:pStyle w:val="AERbodytextnospace"/>
      </w:pPr>
    </w:p>
    <w:p w:rsidR="00D25846" w:rsidRPr="0052417E" w:rsidRDefault="00D25846" w:rsidP="00D25846">
      <w:pPr>
        <w:pStyle w:val="AERbodytextnospace"/>
      </w:pPr>
      <w:r w:rsidRPr="0052417E">
        <w:rPr>
          <w:rStyle w:val="AERtextbold"/>
        </w:rPr>
        <w:t>Locations:</w:t>
      </w:r>
      <w:r w:rsidRPr="0052417E">
        <w:t xml:space="preserve"> </w:t>
      </w:r>
      <w:r w:rsidRPr="0052417E">
        <w:tab/>
      </w:r>
      <w:r>
        <w:tab/>
      </w:r>
      <w:r w:rsidRPr="0052417E">
        <w:t xml:space="preserve">Level 35 </w:t>
      </w:r>
      <w:proofErr w:type="gramStart"/>
      <w:r w:rsidRPr="0052417E">
        <w:t>The</w:t>
      </w:r>
      <w:proofErr w:type="gramEnd"/>
      <w:r w:rsidRPr="0052417E">
        <w:t xml:space="preserve"> Tower, 360 Elizabeth Street, Melbourne Central</w:t>
      </w:r>
    </w:p>
    <w:p w:rsidR="00D25846" w:rsidRPr="0052417E" w:rsidRDefault="00D25846" w:rsidP="00D25846">
      <w:pPr>
        <w:pStyle w:val="AERbodytextnospace"/>
      </w:pPr>
      <w:r>
        <w:tab/>
      </w:r>
      <w:r w:rsidRPr="0052417E">
        <w:tab/>
      </w:r>
      <w:r w:rsidRPr="0052417E">
        <w:tab/>
        <w:t>Level 20, 175 Pitt Street, Sydney</w:t>
      </w:r>
    </w:p>
    <w:p w:rsidR="00D25846" w:rsidRPr="0052417E" w:rsidRDefault="00D25846" w:rsidP="00D25846">
      <w:pPr>
        <w:pStyle w:val="AERbodytextnospace"/>
      </w:pPr>
      <w:r>
        <w:tab/>
      </w:r>
      <w:r w:rsidRPr="0052417E">
        <w:tab/>
      </w:r>
      <w:r w:rsidRPr="0052417E">
        <w:tab/>
      </w:r>
    </w:p>
    <w:p w:rsidR="00D25846" w:rsidRDefault="00FC601E" w:rsidP="00D25846">
      <w:pPr>
        <w:pStyle w:val="AERbodytextnospace"/>
      </w:pPr>
      <w:r>
        <w:rPr>
          <w:rStyle w:val="AERtextbold"/>
        </w:rPr>
        <w:t>Roundtable</w:t>
      </w:r>
      <w:r>
        <w:rPr>
          <w:rStyle w:val="AERtextbold"/>
        </w:rPr>
        <w:t xml:space="preserve"> </w:t>
      </w:r>
      <w:r w:rsidR="00D25846">
        <w:rPr>
          <w:rStyle w:val="AERtextbold"/>
        </w:rPr>
        <w:t>chair</w:t>
      </w:r>
      <w:r w:rsidR="00D25846" w:rsidRPr="0052417E">
        <w:rPr>
          <w:rStyle w:val="AERtextbold"/>
        </w:rPr>
        <w:t>:</w:t>
      </w:r>
      <w:r w:rsidR="00D25846" w:rsidRPr="0052417E">
        <w:t xml:space="preserve"> </w:t>
      </w:r>
      <w:r w:rsidR="00D25846">
        <w:tab/>
        <w:t>Andrew Reeves</w:t>
      </w:r>
      <w:r w:rsidR="00D25846" w:rsidRPr="0052417E">
        <w:t xml:space="preserve"> </w:t>
      </w:r>
    </w:p>
    <w:p w:rsidR="00D25846" w:rsidRDefault="00D25846" w:rsidP="00D25846">
      <w:pPr>
        <w:pStyle w:val="AERbodytextnospace"/>
        <w:pBdr>
          <w:bottom w:val="single" w:sz="6" w:space="1" w:color="auto"/>
        </w:pBdr>
      </w:pPr>
    </w:p>
    <w:p w:rsidR="00D25846" w:rsidRDefault="00D25846" w:rsidP="00D25846">
      <w:pPr>
        <w:pStyle w:val="AERbodytextnospace"/>
      </w:pPr>
    </w:p>
    <w:p w:rsidR="00D25846" w:rsidRDefault="00D25846" w:rsidP="00D25846">
      <w:pPr>
        <w:rPr>
          <w:b/>
        </w:rPr>
      </w:pPr>
      <w:r>
        <w:rPr>
          <w:b/>
        </w:rPr>
        <w:t>Agenda:</w:t>
      </w:r>
    </w:p>
    <w:p w:rsidR="00D25846" w:rsidRDefault="00D25846" w:rsidP="00D25846">
      <w:pPr>
        <w:spacing w:before="120" w:after="120" w:line="276" w:lineRule="auto"/>
        <w:rPr>
          <w:rFonts w:eastAsia="Times New Roman"/>
          <w:color w:val="000000"/>
          <w:lang w:eastAsia="en-AU"/>
        </w:rPr>
      </w:pPr>
      <w:r>
        <w:rPr>
          <w:rFonts w:eastAsia="Times New Roman"/>
          <w:color w:val="000000"/>
          <w:lang w:eastAsia="en-AU"/>
        </w:rPr>
        <w:t>13:0</w:t>
      </w:r>
      <w:r w:rsidRPr="002A2778">
        <w:rPr>
          <w:rFonts w:eastAsia="Times New Roman"/>
          <w:color w:val="000000"/>
          <w:lang w:eastAsia="en-AU"/>
        </w:rPr>
        <w:t>0</w:t>
      </w:r>
      <w:r w:rsidRPr="002A2778">
        <w:rPr>
          <w:rFonts w:eastAsia="Times New Roman"/>
          <w:color w:val="000000"/>
          <w:lang w:eastAsia="en-AU"/>
        </w:rPr>
        <w:tab/>
      </w:r>
      <w:r w:rsidRPr="002A2778">
        <w:rPr>
          <w:rFonts w:eastAsia="Times New Roman"/>
          <w:color w:val="000000"/>
          <w:lang w:eastAsia="en-AU"/>
        </w:rPr>
        <w:tab/>
      </w:r>
      <w:r>
        <w:rPr>
          <w:rFonts w:eastAsia="Times New Roman"/>
          <w:color w:val="000000"/>
          <w:lang w:eastAsia="en-AU"/>
        </w:rPr>
        <w:t>Registration</w:t>
      </w:r>
    </w:p>
    <w:p w:rsidR="00D25846" w:rsidRDefault="00D25846" w:rsidP="00D25846">
      <w:pPr>
        <w:spacing w:before="120" w:after="120" w:line="276" w:lineRule="auto"/>
        <w:rPr>
          <w:rFonts w:eastAsia="Times New Roman"/>
          <w:color w:val="000000"/>
          <w:lang w:eastAsia="en-AU"/>
        </w:rPr>
      </w:pPr>
      <w:r>
        <w:rPr>
          <w:rFonts w:eastAsia="Times New Roman"/>
          <w:color w:val="000000"/>
          <w:lang w:eastAsia="en-AU"/>
        </w:rPr>
        <w:t>13:1</w:t>
      </w:r>
      <w:r w:rsidRPr="002A2778">
        <w:rPr>
          <w:rFonts w:eastAsia="Times New Roman"/>
          <w:color w:val="000000"/>
          <w:lang w:eastAsia="en-AU"/>
        </w:rPr>
        <w:t>5</w:t>
      </w:r>
      <w:r w:rsidRPr="002A2778">
        <w:rPr>
          <w:rFonts w:eastAsia="Times New Roman"/>
          <w:color w:val="000000"/>
          <w:lang w:eastAsia="en-AU"/>
        </w:rPr>
        <w:tab/>
      </w:r>
      <w:r w:rsidRPr="002A2778">
        <w:rPr>
          <w:rFonts w:eastAsia="Times New Roman"/>
          <w:color w:val="000000"/>
          <w:lang w:eastAsia="en-AU"/>
        </w:rPr>
        <w:tab/>
        <w:t>Introductions</w:t>
      </w:r>
    </w:p>
    <w:p w:rsidR="00D25846" w:rsidRDefault="00D25846" w:rsidP="00D25846">
      <w:pPr>
        <w:spacing w:before="120" w:after="120" w:line="276" w:lineRule="auto"/>
        <w:rPr>
          <w:rFonts w:eastAsia="Times New Roman"/>
          <w:color w:val="000000"/>
          <w:lang w:eastAsia="en-AU"/>
        </w:rPr>
      </w:pPr>
      <w:r>
        <w:rPr>
          <w:rFonts w:eastAsia="Times New Roman"/>
          <w:color w:val="000000"/>
          <w:lang w:eastAsia="en-AU"/>
        </w:rPr>
        <w:t>13:30</w:t>
      </w:r>
      <w:r>
        <w:rPr>
          <w:rFonts w:eastAsia="Times New Roman"/>
          <w:color w:val="000000"/>
          <w:lang w:eastAsia="en-AU"/>
        </w:rPr>
        <w:tab/>
      </w:r>
      <w:r>
        <w:rPr>
          <w:rFonts w:eastAsia="Times New Roman"/>
          <w:color w:val="000000"/>
          <w:lang w:eastAsia="en-AU"/>
        </w:rPr>
        <w:tab/>
      </w:r>
      <w:r w:rsidRPr="002A2778">
        <w:rPr>
          <w:rFonts w:eastAsia="Times New Roman"/>
          <w:color w:val="000000"/>
          <w:lang w:eastAsia="en-AU"/>
        </w:rPr>
        <w:t>Discussion of the overall program and AER’s objectives</w:t>
      </w:r>
    </w:p>
    <w:p w:rsidR="00D25846" w:rsidRDefault="00D25846" w:rsidP="00D25846">
      <w:pPr>
        <w:spacing w:before="120" w:after="120" w:line="276" w:lineRule="auto"/>
        <w:rPr>
          <w:rFonts w:eastAsia="Times New Roman"/>
          <w:color w:val="000000"/>
          <w:lang w:eastAsia="en-AU"/>
        </w:rPr>
      </w:pPr>
      <w:r>
        <w:rPr>
          <w:rFonts w:eastAsia="Times New Roman"/>
          <w:color w:val="000000"/>
          <w:lang w:eastAsia="en-AU"/>
        </w:rPr>
        <w:t>14:00</w:t>
      </w:r>
      <w:r>
        <w:rPr>
          <w:rFonts w:eastAsia="Times New Roman"/>
          <w:color w:val="000000"/>
          <w:lang w:eastAsia="en-AU"/>
        </w:rPr>
        <w:tab/>
      </w:r>
      <w:r>
        <w:rPr>
          <w:rFonts w:eastAsia="Times New Roman"/>
          <w:color w:val="000000"/>
          <w:lang w:eastAsia="en-AU"/>
        </w:rPr>
        <w:tab/>
      </w:r>
      <w:r w:rsidRPr="002A2778">
        <w:rPr>
          <w:rFonts w:eastAsia="Times New Roman"/>
          <w:color w:val="000000"/>
          <w:lang w:eastAsia="en-AU"/>
        </w:rPr>
        <w:t xml:space="preserve">Recap of issues paper and </w:t>
      </w:r>
      <w:r>
        <w:rPr>
          <w:rFonts w:eastAsia="Times New Roman"/>
          <w:color w:val="000000"/>
          <w:lang w:eastAsia="en-AU"/>
        </w:rPr>
        <w:t xml:space="preserve">opportunity for stakeholder </w:t>
      </w:r>
      <w:r w:rsidRPr="002A2778">
        <w:rPr>
          <w:rFonts w:eastAsia="Times New Roman"/>
          <w:color w:val="000000"/>
          <w:lang w:eastAsia="en-AU"/>
        </w:rPr>
        <w:t>feedback</w:t>
      </w:r>
    </w:p>
    <w:p w:rsidR="00D25846" w:rsidRDefault="00D25846" w:rsidP="00D25846">
      <w:pPr>
        <w:spacing w:before="120" w:after="120" w:line="276" w:lineRule="auto"/>
        <w:rPr>
          <w:rFonts w:eastAsia="Times New Roman"/>
          <w:color w:val="000000"/>
          <w:lang w:eastAsia="en-AU"/>
        </w:rPr>
      </w:pPr>
      <w:r>
        <w:rPr>
          <w:rFonts w:eastAsia="Times New Roman"/>
          <w:color w:val="000000"/>
          <w:lang w:eastAsia="en-AU"/>
        </w:rPr>
        <w:t>14:45</w:t>
      </w:r>
      <w:r>
        <w:rPr>
          <w:rFonts w:eastAsia="Times New Roman"/>
          <w:color w:val="000000"/>
          <w:lang w:eastAsia="en-AU"/>
        </w:rPr>
        <w:tab/>
      </w:r>
      <w:r>
        <w:rPr>
          <w:rFonts w:eastAsia="Times New Roman"/>
          <w:color w:val="000000"/>
          <w:lang w:eastAsia="en-AU"/>
        </w:rPr>
        <w:tab/>
        <w:t>Break</w:t>
      </w:r>
    </w:p>
    <w:p w:rsidR="00D25846" w:rsidRDefault="00D25846" w:rsidP="00D25846">
      <w:pPr>
        <w:spacing w:before="120" w:after="120" w:line="276" w:lineRule="auto"/>
        <w:rPr>
          <w:rFonts w:eastAsia="Times New Roman"/>
          <w:color w:val="000000"/>
          <w:lang w:eastAsia="en-AU"/>
        </w:rPr>
      </w:pPr>
      <w:r>
        <w:rPr>
          <w:rFonts w:eastAsia="Times New Roman"/>
          <w:color w:val="000000"/>
          <w:lang w:eastAsia="en-AU"/>
        </w:rPr>
        <w:t>15:00</w:t>
      </w:r>
      <w:r>
        <w:rPr>
          <w:rFonts w:eastAsia="Times New Roman"/>
          <w:color w:val="000000"/>
          <w:lang w:eastAsia="en-AU"/>
        </w:rPr>
        <w:tab/>
      </w:r>
      <w:r>
        <w:rPr>
          <w:rFonts w:eastAsia="Times New Roman"/>
          <w:color w:val="000000"/>
          <w:lang w:eastAsia="en-AU"/>
        </w:rPr>
        <w:tab/>
      </w:r>
      <w:r w:rsidRPr="002A2778">
        <w:rPr>
          <w:rFonts w:eastAsia="Times New Roman"/>
          <w:color w:val="000000"/>
          <w:lang w:eastAsia="en-AU"/>
        </w:rPr>
        <w:t>Proposed forward work program (See attached)</w:t>
      </w:r>
    </w:p>
    <w:p w:rsidR="00D25846" w:rsidRDefault="00D25846" w:rsidP="00D25846">
      <w:pPr>
        <w:spacing w:before="120" w:after="120" w:line="276" w:lineRule="auto"/>
        <w:rPr>
          <w:rFonts w:eastAsia="Times New Roman"/>
          <w:color w:val="000000"/>
          <w:lang w:eastAsia="en-AU"/>
        </w:rPr>
      </w:pPr>
      <w:r>
        <w:rPr>
          <w:rFonts w:eastAsia="Times New Roman"/>
          <w:color w:val="000000"/>
          <w:lang w:eastAsia="en-AU"/>
        </w:rPr>
        <w:t>16:00</w:t>
      </w:r>
      <w:r>
        <w:rPr>
          <w:rFonts w:eastAsia="Times New Roman"/>
          <w:color w:val="000000"/>
          <w:lang w:eastAsia="en-AU"/>
        </w:rPr>
        <w:tab/>
      </w:r>
      <w:r>
        <w:rPr>
          <w:rFonts w:eastAsia="Times New Roman"/>
          <w:color w:val="000000"/>
          <w:lang w:eastAsia="en-AU"/>
        </w:rPr>
        <w:tab/>
      </w:r>
      <w:r w:rsidRPr="002A2778">
        <w:rPr>
          <w:rFonts w:eastAsia="Times New Roman"/>
          <w:color w:val="000000"/>
          <w:lang w:eastAsia="en-AU"/>
        </w:rPr>
        <w:t>Future meeting logistics</w:t>
      </w:r>
    </w:p>
    <w:p w:rsidR="00D25846" w:rsidRDefault="00D25846" w:rsidP="00D25846">
      <w:pPr>
        <w:spacing w:before="120" w:after="120" w:line="276" w:lineRule="auto"/>
        <w:rPr>
          <w:rFonts w:eastAsia="Times New Roman"/>
          <w:color w:val="000000"/>
          <w:lang w:eastAsia="en-AU"/>
        </w:rPr>
      </w:pPr>
      <w:r>
        <w:rPr>
          <w:rFonts w:eastAsia="Times New Roman"/>
          <w:color w:val="000000"/>
          <w:lang w:eastAsia="en-AU"/>
        </w:rPr>
        <w:t>16:15</w:t>
      </w:r>
      <w:r>
        <w:rPr>
          <w:rFonts w:eastAsia="Times New Roman"/>
          <w:color w:val="000000"/>
          <w:lang w:eastAsia="en-AU"/>
        </w:rPr>
        <w:tab/>
      </w:r>
      <w:r>
        <w:rPr>
          <w:rFonts w:eastAsia="Times New Roman"/>
          <w:color w:val="000000"/>
          <w:lang w:eastAsia="en-AU"/>
        </w:rPr>
        <w:tab/>
      </w:r>
      <w:r w:rsidRPr="002A2778">
        <w:rPr>
          <w:rFonts w:eastAsia="Times New Roman"/>
          <w:color w:val="000000"/>
          <w:lang w:eastAsia="en-AU"/>
        </w:rPr>
        <w:t>AOB</w:t>
      </w:r>
    </w:p>
    <w:p w:rsidR="00D25846" w:rsidRPr="00B77095" w:rsidRDefault="00D25846" w:rsidP="00D25846">
      <w:pPr>
        <w:spacing w:after="200" w:line="276" w:lineRule="auto"/>
        <w:outlineLvl w:val="0"/>
        <w:rPr>
          <w:b/>
          <w:sz w:val="28"/>
          <w:szCs w:val="28"/>
        </w:rPr>
      </w:pPr>
      <w:r w:rsidRPr="00B77095">
        <w:rPr>
          <w:b/>
          <w:sz w:val="28"/>
          <w:szCs w:val="28"/>
        </w:rPr>
        <w:br w:type="page"/>
      </w:r>
      <w:r>
        <w:rPr>
          <w:b/>
          <w:sz w:val="28"/>
          <w:szCs w:val="28"/>
        </w:rPr>
        <w:lastRenderedPageBreak/>
        <w:t>Attachment: Proposed w</w:t>
      </w:r>
      <w:r w:rsidRPr="00B77095">
        <w:rPr>
          <w:b/>
          <w:sz w:val="28"/>
          <w:szCs w:val="28"/>
        </w:rPr>
        <w:t>orking group forward agenda</w:t>
      </w:r>
    </w:p>
    <w:p w:rsidR="00D25846" w:rsidRPr="00E42515" w:rsidRDefault="00D25846" w:rsidP="00D25846">
      <w:pPr>
        <w:pStyle w:val="ListParagraph"/>
        <w:spacing w:after="200" w:line="276" w:lineRule="auto"/>
        <w:ind w:left="0"/>
      </w:pPr>
      <w:r w:rsidRPr="00B77095">
        <w:t xml:space="preserve">This </w:t>
      </w:r>
      <w:r>
        <w:t xml:space="preserve">attachment </w:t>
      </w:r>
      <w:r w:rsidRPr="00B77095">
        <w:t>outline</w:t>
      </w:r>
      <w:r>
        <w:t>s</w:t>
      </w:r>
      <w:r w:rsidRPr="00B77095">
        <w:t xml:space="preserve"> our proposal for packaging and sequencing consultation on </w:t>
      </w:r>
      <w:r>
        <w:t xml:space="preserve">the </w:t>
      </w:r>
      <w:r w:rsidRPr="00B77095">
        <w:t xml:space="preserve">issues arising in the preparation of the expenditure assessment guidelines, benchmarking reports, related </w:t>
      </w:r>
      <w:r w:rsidRPr="00E42515">
        <w:t>information reporting instruments and network determinations.</w:t>
      </w:r>
    </w:p>
    <w:p w:rsidR="00D25846" w:rsidRPr="00E42515" w:rsidRDefault="00D25846" w:rsidP="00D25846">
      <w:pPr>
        <w:pStyle w:val="ListParagraph"/>
        <w:spacing w:after="200" w:line="276" w:lineRule="auto"/>
        <w:ind w:left="0"/>
      </w:pPr>
      <w:r w:rsidRPr="00E42515">
        <w:t>Overall we anticipate a consultation program focused on extending the existing methods around category or activity based assessments used in recent determinations, including as part of a nationally consistent approach. This will be supplemented by the use of new, holistic benchmarking techniques. In doing so we will be exploring the relationships with incentive arrangements and our current reliance on the principles of “revealed cost” when setting efficient forecast expenditure allowances.</w:t>
      </w:r>
    </w:p>
    <w:p w:rsidR="00D25846" w:rsidRPr="00E42515" w:rsidRDefault="00D25846" w:rsidP="00D25846">
      <w:pPr>
        <w:pStyle w:val="ListParagraph"/>
        <w:spacing w:after="200" w:line="276" w:lineRule="auto"/>
        <w:ind w:left="0"/>
      </w:pPr>
      <w:r w:rsidRPr="00E42515">
        <w:t>As per the presentation of matters in our issues paper, we anticipate the need to discuss several key overarching issues in addition to consultation on more detailed assessment techniques for expenditure categories and for economic benchmarking. These are outlined in more detail below.</w:t>
      </w:r>
    </w:p>
    <w:p w:rsidR="00D25846" w:rsidRPr="00E42515" w:rsidRDefault="00D25846" w:rsidP="00D25846">
      <w:pPr>
        <w:pStyle w:val="ListParagraph"/>
        <w:spacing w:after="200" w:line="276" w:lineRule="auto"/>
        <w:ind w:left="0"/>
      </w:pPr>
      <w:r w:rsidRPr="00E42515">
        <w:t>Board member participation in working group meetings is expected for meetings where broader framework issues and matters of high priority are discussed. Attendance will be subject to the timing of specific meetings and Board member availability.</w:t>
      </w:r>
    </w:p>
    <w:p w:rsidR="00D25846" w:rsidRPr="00E42515" w:rsidRDefault="00D25846" w:rsidP="00D25846">
      <w:pPr>
        <w:spacing w:before="240" w:after="120" w:line="276" w:lineRule="auto"/>
        <w:outlineLvl w:val="0"/>
        <w:rPr>
          <w:b/>
          <w:i/>
          <w:sz w:val="24"/>
          <w:szCs w:val="24"/>
        </w:rPr>
      </w:pPr>
      <w:r w:rsidRPr="00E42515">
        <w:rPr>
          <w:b/>
          <w:i/>
          <w:sz w:val="24"/>
          <w:szCs w:val="24"/>
        </w:rPr>
        <w:t>Category analysis meetings</w:t>
      </w:r>
    </w:p>
    <w:p w:rsidR="00D25846" w:rsidRDefault="00D25846" w:rsidP="00D25846">
      <w:pPr>
        <w:spacing w:after="200" w:line="276" w:lineRule="auto"/>
      </w:pPr>
      <w:r w:rsidRPr="00E42515">
        <w:t>These meetings will cover our intended approach to the assessment of expenditure categories that are defined and separated according to main activities and drivers, such as asset replacement and routine maintenance.</w:t>
      </w:r>
      <w:r>
        <w:t xml:space="preserve"> </w:t>
      </w:r>
    </w:p>
    <w:p w:rsidR="00D25846" w:rsidRPr="00B77095" w:rsidRDefault="00D25846" w:rsidP="00D25846">
      <w:pPr>
        <w:spacing w:after="200" w:line="276" w:lineRule="auto"/>
      </w:pPr>
      <w:r w:rsidRPr="00B77095">
        <w:t xml:space="preserve">Our proposed sequencing/ packaging of working group meetings around category based assessment </w:t>
      </w:r>
      <w:proofErr w:type="gramStart"/>
      <w:r w:rsidRPr="00B77095">
        <w:t>involves</w:t>
      </w:r>
      <w:proofErr w:type="gramEnd"/>
      <w:r w:rsidRPr="00B77095">
        <w:t xml:space="preserve"> addressing the following general questions:</w:t>
      </w:r>
    </w:p>
    <w:p w:rsidR="00D25846" w:rsidRPr="00B77095" w:rsidRDefault="00D25846" w:rsidP="00D25846">
      <w:pPr>
        <w:pStyle w:val="ListParagraph"/>
        <w:numPr>
          <w:ilvl w:val="0"/>
          <w:numId w:val="6"/>
        </w:numPr>
        <w:spacing w:after="200" w:line="276" w:lineRule="auto"/>
      </w:pPr>
      <w:r w:rsidRPr="00B77095">
        <w:t>What factors must the AER consider when determining forecast expenditure allowances?</w:t>
      </w:r>
    </w:p>
    <w:p w:rsidR="00D25846" w:rsidRPr="00B77095" w:rsidRDefault="00D25846" w:rsidP="00D25846">
      <w:pPr>
        <w:pStyle w:val="ListParagraph"/>
        <w:numPr>
          <w:ilvl w:val="0"/>
          <w:numId w:val="6"/>
        </w:numPr>
        <w:spacing w:after="200" w:line="276" w:lineRule="auto"/>
      </w:pPr>
      <w:r w:rsidRPr="00B77095">
        <w:t>How are these factors to be considered? This may involve both general principles of consideration, as well as more detailed methods for manipulating data.</w:t>
      </w:r>
    </w:p>
    <w:p w:rsidR="00D25846" w:rsidRPr="00B77095" w:rsidRDefault="00D25846" w:rsidP="00D25846">
      <w:pPr>
        <w:pStyle w:val="ListParagraph"/>
        <w:numPr>
          <w:ilvl w:val="0"/>
          <w:numId w:val="6"/>
        </w:numPr>
        <w:spacing w:after="200" w:line="276" w:lineRule="auto"/>
      </w:pPr>
      <w:r w:rsidRPr="00B77095">
        <w:t xml:space="preserve">What datasets should be collected from NSPs in order to complete this consideration? Includes particular expenditure data, asset data, </w:t>
      </w:r>
      <w:proofErr w:type="gramStart"/>
      <w:r w:rsidRPr="00B77095">
        <w:t>demand</w:t>
      </w:r>
      <w:proofErr w:type="gramEnd"/>
      <w:r w:rsidRPr="00B77095">
        <w:t xml:space="preserve"> data, anything else that is required to assess expenditure in accordance with the NER. Precise definitions must be created, and boundary issues between categories resolved.</w:t>
      </w:r>
    </w:p>
    <w:p w:rsidR="00D25846" w:rsidRPr="00B77095" w:rsidRDefault="00D25846" w:rsidP="00D25846">
      <w:pPr>
        <w:keepNext/>
        <w:spacing w:after="200" w:line="276" w:lineRule="auto"/>
      </w:pPr>
      <w:r w:rsidRPr="00B77095">
        <w:t xml:space="preserve">This has been presented below in </w:t>
      </w:r>
      <w:r>
        <w:t>4</w:t>
      </w:r>
      <w:r w:rsidRPr="00B77095">
        <w:t xml:space="preserve"> </w:t>
      </w:r>
      <w:r>
        <w:t xml:space="preserve">general </w:t>
      </w:r>
      <w:r w:rsidRPr="00B77095">
        <w:t>phases:</w:t>
      </w:r>
    </w:p>
    <w:p w:rsidR="00D25846" w:rsidRPr="00B77095" w:rsidRDefault="00D25846" w:rsidP="00D25846">
      <w:pPr>
        <w:numPr>
          <w:ilvl w:val="0"/>
          <w:numId w:val="11"/>
        </w:numPr>
        <w:spacing w:after="200" w:line="276" w:lineRule="auto"/>
      </w:pPr>
      <w:r>
        <w:t xml:space="preserve">The </w:t>
      </w:r>
      <w:r w:rsidRPr="00B77095">
        <w:t>general task of assessment, identification of categories and considerations relevant to each</w:t>
      </w:r>
      <w:r>
        <w:t>.</w:t>
      </w:r>
    </w:p>
    <w:p w:rsidR="00D25846" w:rsidRPr="00B77095" w:rsidRDefault="00D25846" w:rsidP="00D25846">
      <w:pPr>
        <w:numPr>
          <w:ilvl w:val="0"/>
          <w:numId w:val="11"/>
        </w:numPr>
        <w:spacing w:after="200" w:line="276" w:lineRule="auto"/>
      </w:pPr>
      <w:r>
        <w:t>D</w:t>
      </w:r>
      <w:r w:rsidRPr="00B77095">
        <w:t xml:space="preserve">etailed examination of each category of expenditure </w:t>
      </w:r>
      <w:r>
        <w:t xml:space="preserve">and supporting data </w:t>
      </w:r>
      <w:r w:rsidRPr="00B77095">
        <w:t>to aid resolution of further definitional issues.</w:t>
      </w:r>
    </w:p>
    <w:p w:rsidR="00D25846" w:rsidRPr="00B77095" w:rsidRDefault="00D25846" w:rsidP="00D25846">
      <w:pPr>
        <w:numPr>
          <w:ilvl w:val="0"/>
          <w:numId w:val="11"/>
        </w:numPr>
        <w:spacing w:after="200" w:line="276" w:lineRule="auto"/>
      </w:pPr>
      <w:r>
        <w:t>Generic m</w:t>
      </w:r>
      <w:r w:rsidRPr="00B77095">
        <w:t xml:space="preserve">atters </w:t>
      </w:r>
      <w:r>
        <w:t xml:space="preserve">and those </w:t>
      </w:r>
      <w:r w:rsidRPr="00B77095">
        <w:t xml:space="preserve">not amenable to assessment </w:t>
      </w:r>
      <w:r>
        <w:t>with</w:t>
      </w:r>
      <w:r w:rsidRPr="00B77095">
        <w:t>in categories.</w:t>
      </w:r>
    </w:p>
    <w:p w:rsidR="00D25846" w:rsidRPr="00B77095" w:rsidRDefault="00D25846" w:rsidP="00D25846">
      <w:pPr>
        <w:numPr>
          <w:ilvl w:val="0"/>
          <w:numId w:val="11"/>
        </w:numPr>
        <w:spacing w:after="200" w:line="276" w:lineRule="auto"/>
      </w:pPr>
      <w:r>
        <w:lastRenderedPageBreak/>
        <w:t>D</w:t>
      </w:r>
      <w:r w:rsidRPr="00B77095">
        <w:t xml:space="preserve">etailed examination of </w:t>
      </w:r>
      <w:r>
        <w:t xml:space="preserve">supporting </w:t>
      </w:r>
      <w:r w:rsidRPr="00B77095">
        <w:t>assessment techniques.</w:t>
      </w:r>
    </w:p>
    <w:p w:rsidR="00D25846" w:rsidRPr="00B77095" w:rsidRDefault="00D25846" w:rsidP="00D25846">
      <w:pPr>
        <w:spacing w:after="200" w:line="276" w:lineRule="auto"/>
      </w:pPr>
      <w:r w:rsidRPr="00B77095">
        <w:t xml:space="preserve">Prior to each working group meeting we expect to circulate our detailed position/ thinking on the topics to be discussed based on </w:t>
      </w:r>
      <w:r>
        <w:t xml:space="preserve">any pre-existing </w:t>
      </w:r>
      <w:r w:rsidRPr="00B77095">
        <w:t xml:space="preserve">methods </w:t>
      </w:r>
      <w:r>
        <w:t xml:space="preserve">used to </w:t>
      </w:r>
      <w:r w:rsidRPr="00B77095">
        <w:t xml:space="preserve">assess expenditure </w:t>
      </w:r>
      <w:r>
        <w:t xml:space="preserve">categories </w:t>
      </w:r>
      <w:r w:rsidRPr="00B77095">
        <w:t xml:space="preserve">and </w:t>
      </w:r>
      <w:r>
        <w:t xml:space="preserve">our </w:t>
      </w:r>
      <w:r w:rsidRPr="00B77095">
        <w:t xml:space="preserve">understanding of NSP operating environments. </w:t>
      </w:r>
      <w:r>
        <w:t>We expect this material and workshop agendas will reflect stakeholder responses to our issues paper to be received by 15 March.</w:t>
      </w:r>
    </w:p>
    <w:p w:rsidR="00D25846" w:rsidRDefault="00D25846" w:rsidP="00D25846">
      <w:pPr>
        <w:spacing w:after="200" w:line="276" w:lineRule="auto"/>
      </w:pPr>
      <w:r w:rsidRPr="00B77095">
        <w:t xml:space="preserve">While we propose to address issues in a particular sequence, issues arising from the working group meetings may require us to revisit matters that have been previously considered. </w:t>
      </w:r>
      <w:r>
        <w:t>This may require further i</w:t>
      </w:r>
      <w:r w:rsidRPr="00B77095">
        <w:t>terati</w:t>
      </w:r>
      <w:r>
        <w:t>ons and follow up material to be circulated to working group attendees.</w:t>
      </w:r>
    </w:p>
    <w:p w:rsidR="00D25846" w:rsidRDefault="00D25846" w:rsidP="00D25846">
      <w:pPr>
        <w:spacing w:after="200" w:line="276" w:lineRule="auto"/>
      </w:pPr>
      <w:r>
        <w:t>We do not propose to hold workshops for</w:t>
      </w:r>
      <w:r w:rsidRPr="00DD71C1">
        <w:t xml:space="preserve"> </w:t>
      </w:r>
      <w:r>
        <w:t>the following given time constraints and as the approaches to forecasting/ assessment some of these matters are somewhat standardised:</w:t>
      </w:r>
    </w:p>
    <w:p w:rsidR="00D25846" w:rsidRDefault="00D25846" w:rsidP="00D25846">
      <w:pPr>
        <w:numPr>
          <w:ilvl w:val="0"/>
          <w:numId w:val="8"/>
        </w:numPr>
        <w:spacing w:after="200" w:line="276" w:lineRule="auto"/>
      </w:pPr>
      <w:r>
        <w:t>debt and equity raising costs</w:t>
      </w:r>
    </w:p>
    <w:p w:rsidR="00D25846" w:rsidRDefault="00D25846" w:rsidP="00D25846">
      <w:pPr>
        <w:numPr>
          <w:ilvl w:val="0"/>
          <w:numId w:val="8"/>
        </w:numPr>
        <w:spacing w:after="200" w:line="276" w:lineRule="auto"/>
      </w:pPr>
      <w:r>
        <w:t>real input price escalators</w:t>
      </w:r>
    </w:p>
    <w:p w:rsidR="00D25846" w:rsidRDefault="00D25846" w:rsidP="00D25846">
      <w:pPr>
        <w:numPr>
          <w:ilvl w:val="0"/>
          <w:numId w:val="8"/>
        </w:numPr>
        <w:spacing w:after="200" w:line="276" w:lineRule="auto"/>
      </w:pPr>
      <w:r>
        <w:t>allowances for cost estimation risks, and</w:t>
      </w:r>
    </w:p>
    <w:p w:rsidR="00D25846" w:rsidRDefault="00D25846" w:rsidP="00D25846">
      <w:pPr>
        <w:numPr>
          <w:ilvl w:val="0"/>
          <w:numId w:val="8"/>
        </w:numPr>
        <w:spacing w:after="200" w:line="276" w:lineRule="auto"/>
      </w:pPr>
      <w:r>
        <w:t>related party margins</w:t>
      </w:r>
    </w:p>
    <w:p w:rsidR="00D25846" w:rsidRDefault="00D25846" w:rsidP="00D25846">
      <w:pPr>
        <w:spacing w:after="200" w:line="276" w:lineRule="auto"/>
      </w:pPr>
      <w:r>
        <w:t>Subject to stakeholder views it may be sufficient to develop draft guidelines on the basis of written submissions on these matters as well as hold bilateral meetings with affected stakeholders outside the working group process.</w:t>
      </w:r>
    </w:p>
    <w:p w:rsidR="00D25846" w:rsidRPr="00E42515" w:rsidRDefault="00D25846" w:rsidP="00D25846">
      <w:pPr>
        <w:spacing w:before="240" w:after="120" w:line="276" w:lineRule="auto"/>
        <w:outlineLvl w:val="0"/>
        <w:rPr>
          <w:b/>
          <w:i/>
          <w:sz w:val="24"/>
          <w:szCs w:val="24"/>
        </w:rPr>
      </w:pPr>
      <w:r w:rsidRPr="00E42515">
        <w:rPr>
          <w:b/>
          <w:i/>
          <w:sz w:val="24"/>
          <w:szCs w:val="24"/>
        </w:rPr>
        <w:t>Meetings on economic benchmarking techniques</w:t>
      </w:r>
    </w:p>
    <w:p w:rsidR="00D25846" w:rsidRPr="00E42515" w:rsidRDefault="00D25846" w:rsidP="00D25846">
      <w:pPr>
        <w:spacing w:after="200" w:line="276" w:lineRule="auto"/>
      </w:pPr>
      <w:r w:rsidRPr="00E42515">
        <w:t xml:space="preserve">Economic benchmarking techniques refer to methods that employ economic theory on the behaviour of firms in order to estimate relative efficiency and how this changes over time. The methods also provide a framework for decomposing the various types of efficiency affecting NSPs. </w:t>
      </w:r>
    </w:p>
    <w:p w:rsidR="00D25846" w:rsidRDefault="00D25846" w:rsidP="00D25846">
      <w:pPr>
        <w:spacing w:after="200" w:line="276" w:lineRule="auto"/>
      </w:pPr>
      <w:r w:rsidRPr="00E42515">
        <w:t>Consistent with the holistic approach to selecting economic benchmarking techniques forwarded in our issues paper, we intend</w:t>
      </w:r>
      <w:r w:rsidRPr="0051305A">
        <w:t xml:space="preserve"> that the workshops on economic benchmarking predominately focus on data requirements. The workshops will cover high level issues and we will issue questions to stakeholders on matters of detail where required. </w:t>
      </w:r>
    </w:p>
    <w:p w:rsidR="00D25846" w:rsidRPr="0051305A" w:rsidRDefault="00D25846" w:rsidP="00D25846">
      <w:pPr>
        <w:spacing w:after="200" w:line="276" w:lineRule="auto"/>
      </w:pPr>
      <w:r w:rsidRPr="0051305A">
        <w:t>The economic benchmarking work program can be separated into three phases:</w:t>
      </w:r>
    </w:p>
    <w:p w:rsidR="00D25846" w:rsidRPr="00B77095" w:rsidRDefault="00D25846" w:rsidP="00D25846">
      <w:pPr>
        <w:numPr>
          <w:ilvl w:val="0"/>
          <w:numId w:val="17"/>
        </w:numPr>
        <w:spacing w:after="200" w:line="276" w:lineRule="auto"/>
      </w:pPr>
      <w:r w:rsidRPr="00B77095">
        <w:t>Identification of inputs, outputs, and environmental variables</w:t>
      </w:r>
    </w:p>
    <w:p w:rsidR="00D25846" w:rsidRPr="00B77095" w:rsidRDefault="00D25846" w:rsidP="00D25846">
      <w:pPr>
        <w:numPr>
          <w:ilvl w:val="0"/>
          <w:numId w:val="17"/>
        </w:numPr>
        <w:spacing w:after="200" w:line="276" w:lineRule="auto"/>
      </w:pPr>
      <w:r w:rsidRPr="00B77095">
        <w:t>Measurement and data requirements of the holistic approach</w:t>
      </w:r>
    </w:p>
    <w:p w:rsidR="00D25846" w:rsidRPr="00B77095" w:rsidRDefault="00D25846" w:rsidP="00D25846">
      <w:pPr>
        <w:numPr>
          <w:ilvl w:val="0"/>
          <w:numId w:val="17"/>
        </w:numPr>
        <w:spacing w:after="200" w:line="276" w:lineRule="auto"/>
      </w:pPr>
      <w:r w:rsidRPr="00B77095">
        <w:t>Implementation of economic benchmarking techniques in assessing NSP expenditure proposals</w:t>
      </w:r>
    </w:p>
    <w:p w:rsidR="00D25846" w:rsidRDefault="00D25846" w:rsidP="00D25846">
      <w:pPr>
        <w:spacing w:after="200" w:line="276" w:lineRule="auto"/>
      </w:pPr>
      <w:r w:rsidRPr="00B77095">
        <w:t>These phases can be further broken down into separate workshops. We propose to have separate workshops for transmission and distribution businesses where the subject matter is industry specific</w:t>
      </w:r>
      <w:r>
        <w:t>.</w:t>
      </w:r>
    </w:p>
    <w:p w:rsidR="00D25846" w:rsidRPr="00B77095" w:rsidRDefault="00D25846" w:rsidP="00D25846">
      <w:pPr>
        <w:spacing w:after="200" w:line="276" w:lineRule="auto"/>
      </w:pPr>
      <w:r w:rsidRPr="00B77095">
        <w:t>It is difficult to be definitive about number of meetings needed in the second phase of workshops</w:t>
      </w:r>
      <w:r>
        <w:t>;</w:t>
      </w:r>
      <w:r w:rsidRPr="00B77095">
        <w:t xml:space="preserve"> th</w:t>
      </w:r>
      <w:r>
        <w:t>is</w:t>
      </w:r>
      <w:r w:rsidRPr="00B77095">
        <w:t xml:space="preserve"> will in part hinge on the inputs, outputs and environmental factors that are identified in the first </w:t>
      </w:r>
      <w:r w:rsidRPr="00B77095">
        <w:lastRenderedPageBreak/>
        <w:t xml:space="preserve">phase. However, we have flexibility to </w:t>
      </w:r>
      <w:r>
        <w:t>hold</w:t>
      </w:r>
      <w:r w:rsidRPr="00B77095">
        <w:t xml:space="preserve"> additional workshops and change the scope of the matters to be canvassed in those workshops subsequent to the first phase, if needed. </w:t>
      </w:r>
    </w:p>
    <w:p w:rsidR="00D25846" w:rsidRPr="00B77095" w:rsidRDefault="00D25846" w:rsidP="00D25846">
      <w:pPr>
        <w:spacing w:after="200" w:line="276" w:lineRule="auto"/>
      </w:pPr>
      <w:r w:rsidRPr="00B77095">
        <w:t>After the first two phases of workshops, a final workshop will be held on:</w:t>
      </w:r>
    </w:p>
    <w:p w:rsidR="00D25846" w:rsidRPr="00B77095" w:rsidRDefault="00D25846" w:rsidP="00D25846">
      <w:pPr>
        <w:numPr>
          <w:ilvl w:val="0"/>
          <w:numId w:val="8"/>
        </w:numPr>
        <w:spacing w:after="200" w:line="276" w:lineRule="auto"/>
      </w:pPr>
      <w:r w:rsidRPr="00B77095">
        <w:t xml:space="preserve">how economic benchmarking techniques will be selected for each expenditure review; and </w:t>
      </w:r>
    </w:p>
    <w:p w:rsidR="00D25846" w:rsidRPr="00B77095" w:rsidRDefault="00D25846" w:rsidP="00D25846">
      <w:pPr>
        <w:numPr>
          <w:ilvl w:val="0"/>
          <w:numId w:val="8"/>
        </w:numPr>
        <w:spacing w:after="200" w:line="276" w:lineRule="auto"/>
      </w:pPr>
      <w:proofErr w:type="gramStart"/>
      <w:r w:rsidRPr="00B77095">
        <w:t>how</w:t>
      </w:r>
      <w:proofErr w:type="gramEnd"/>
      <w:r w:rsidRPr="00B77095">
        <w:t xml:space="preserve"> economic benchmarking techniques will be applied in forming a view about a NSP’s proposed expenditure. </w:t>
      </w:r>
    </w:p>
    <w:p w:rsidR="00D25846" w:rsidRDefault="00D25846" w:rsidP="00D25846">
      <w:pPr>
        <w:spacing w:before="240" w:after="120" w:line="276" w:lineRule="auto"/>
        <w:outlineLvl w:val="0"/>
        <w:rPr>
          <w:b/>
          <w:i/>
          <w:sz w:val="24"/>
          <w:szCs w:val="24"/>
        </w:rPr>
      </w:pPr>
      <w:r>
        <w:rPr>
          <w:b/>
          <w:i/>
          <w:sz w:val="24"/>
          <w:szCs w:val="24"/>
        </w:rPr>
        <w:t>Meeting on overarching/ general issues</w:t>
      </w:r>
    </w:p>
    <w:p w:rsidR="00D25846" w:rsidRPr="00B77095" w:rsidRDefault="00D25846" w:rsidP="00D25846">
      <w:pPr>
        <w:pStyle w:val="ListParagraph"/>
        <w:spacing w:after="200" w:line="276" w:lineRule="auto"/>
        <w:ind w:left="0"/>
      </w:pPr>
      <w:r>
        <w:t>Following consideration of detailed assessment issues, w</w:t>
      </w:r>
      <w:r w:rsidRPr="00B77095">
        <w:t xml:space="preserve">e propose to </w:t>
      </w:r>
      <w:r>
        <w:t xml:space="preserve">consider </w:t>
      </w:r>
      <w:r w:rsidRPr="00B77095">
        <w:t>general matters including:</w:t>
      </w:r>
    </w:p>
    <w:p w:rsidR="00D25846" w:rsidRPr="00B77095" w:rsidRDefault="00D25846" w:rsidP="00D25846">
      <w:pPr>
        <w:pStyle w:val="ListParagraph"/>
        <w:numPr>
          <w:ilvl w:val="0"/>
          <w:numId w:val="6"/>
        </w:numPr>
        <w:spacing w:after="200" w:line="276" w:lineRule="auto"/>
      </w:pPr>
      <w:r w:rsidRPr="00B77095">
        <w:t xml:space="preserve">The </w:t>
      </w:r>
      <w:r>
        <w:t xml:space="preserve">specific content of </w:t>
      </w:r>
      <w:r w:rsidRPr="00B77095">
        <w:t>the guidelines (and hence matters left for framework and approach processes), for example, w</w:t>
      </w:r>
      <w:r>
        <w:t xml:space="preserve">hether </w:t>
      </w:r>
      <w:r w:rsidRPr="00B77095">
        <w:t xml:space="preserve">the guidelines simply outline techniques and general data requirements, or </w:t>
      </w:r>
      <w:r>
        <w:t xml:space="preserve">go further to </w:t>
      </w:r>
      <w:r w:rsidRPr="00B77095">
        <w:t>specify how each technique would be used in setting allowances, and whether the guidelines should include principles to guide the use of techniques for the AER/ NSPs</w:t>
      </w:r>
      <w:r>
        <w:t>.</w:t>
      </w:r>
    </w:p>
    <w:p w:rsidR="00D25846" w:rsidRPr="00B77095" w:rsidRDefault="00D25846" w:rsidP="00D25846">
      <w:pPr>
        <w:pStyle w:val="ListParagraph"/>
        <w:numPr>
          <w:ilvl w:val="0"/>
          <w:numId w:val="6"/>
        </w:numPr>
        <w:spacing w:after="200" w:line="276" w:lineRule="auto"/>
      </w:pPr>
      <w:r w:rsidRPr="00B77095">
        <w:t>Various implementation issues, including how RIN/RIO implications should be managed and the related timing of benchmarking reports and network determinations</w:t>
      </w:r>
      <w:r>
        <w:t>.</w:t>
      </w:r>
    </w:p>
    <w:p w:rsidR="00D25846" w:rsidRPr="00B77095" w:rsidRDefault="00D25846" w:rsidP="00D25846">
      <w:pPr>
        <w:pStyle w:val="ListParagraph"/>
        <w:numPr>
          <w:ilvl w:val="0"/>
          <w:numId w:val="6"/>
        </w:numPr>
        <w:spacing w:after="200" w:line="276" w:lineRule="auto"/>
      </w:pPr>
      <w:r w:rsidRPr="00B77095">
        <w:t>Links with other guidelines, particularly expenditure incentives and cost allocation, as well as decisions in the F&amp;A process such as the classification of services which affect the scope of expenditure assessments</w:t>
      </w:r>
      <w:r>
        <w:t>.</w:t>
      </w:r>
    </w:p>
    <w:p w:rsidR="00D25846" w:rsidRPr="00B77095" w:rsidRDefault="00D25846" w:rsidP="00D25846">
      <w:pPr>
        <w:pStyle w:val="ListParagraph"/>
        <w:numPr>
          <w:ilvl w:val="0"/>
          <w:numId w:val="6"/>
        </w:numPr>
        <w:spacing w:after="200" w:line="276" w:lineRule="auto"/>
      </w:pPr>
      <w:r w:rsidRPr="00B77095">
        <w:t xml:space="preserve">Our suggested </w:t>
      </w:r>
      <w:r>
        <w:t>“</w:t>
      </w:r>
      <w:r w:rsidRPr="00B77095">
        <w:t>first pass</w:t>
      </w:r>
      <w:r>
        <w:t>”</w:t>
      </w:r>
      <w:r w:rsidRPr="00B77095">
        <w:t xml:space="preserve"> assessment approach</w:t>
      </w:r>
      <w:r>
        <w:t>.</w:t>
      </w:r>
    </w:p>
    <w:p w:rsidR="00D25846" w:rsidRPr="00B77095" w:rsidRDefault="00D25846" w:rsidP="00D25846">
      <w:pPr>
        <w:pStyle w:val="ListParagraph"/>
        <w:numPr>
          <w:ilvl w:val="0"/>
          <w:numId w:val="6"/>
        </w:numPr>
        <w:spacing w:after="200" w:line="276" w:lineRule="auto"/>
      </w:pPr>
      <w:r w:rsidRPr="00B77095">
        <w:t>Reconciliation between top down and bottom up assessment techniques</w:t>
      </w:r>
      <w:r>
        <w:t>.</w:t>
      </w:r>
    </w:p>
    <w:p w:rsidR="00D25846" w:rsidRPr="00B77095" w:rsidRDefault="00D25846" w:rsidP="00D25846">
      <w:pPr>
        <w:pStyle w:val="ListParagraph"/>
        <w:keepNext/>
        <w:spacing w:after="200" w:line="276" w:lineRule="auto"/>
        <w:ind w:left="360"/>
        <w:sectPr w:rsidR="00D25846" w:rsidRPr="00B77095" w:rsidSect="008550F9">
          <w:footerReference w:type="default" r:id="rId9"/>
          <w:pgSz w:w="11906" w:h="16838"/>
          <w:pgMar w:top="1440" w:right="1440" w:bottom="1440" w:left="1440" w:header="708" w:footer="708" w:gutter="0"/>
          <w:cols w:space="708"/>
          <w:docGrid w:linePitch="360"/>
        </w:sectPr>
      </w:pPr>
    </w:p>
    <w:p w:rsidR="00D25846" w:rsidRPr="00B77095" w:rsidRDefault="00D25846" w:rsidP="00D25846">
      <w:pPr>
        <w:keepNext/>
        <w:spacing w:after="200" w:line="276" w:lineRule="auto"/>
        <w:outlineLvl w:val="0"/>
      </w:pPr>
      <w:r w:rsidRPr="00B77095">
        <w:rPr>
          <w:b/>
          <w:sz w:val="28"/>
          <w:szCs w:val="28"/>
        </w:rPr>
        <w:lastRenderedPageBreak/>
        <w:t>Suggested work</w:t>
      </w:r>
      <w:r>
        <w:rPr>
          <w:b/>
          <w:sz w:val="28"/>
          <w:szCs w:val="28"/>
        </w:rPr>
        <w:t xml:space="preserve">ing group meetings </w:t>
      </w:r>
      <w:r w:rsidRPr="00B77095">
        <w:rPr>
          <w:b/>
          <w:sz w:val="28"/>
          <w:szCs w:val="28"/>
        </w:rPr>
        <w:t>and discussion topics – category analysis</w:t>
      </w: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28"/>
        <w:gridCol w:w="3299"/>
        <w:gridCol w:w="3299"/>
        <w:gridCol w:w="3299"/>
        <w:gridCol w:w="3300"/>
      </w:tblGrid>
      <w:tr w:rsidR="00D25846" w:rsidRPr="00B77095" w:rsidTr="0093688F">
        <w:trPr>
          <w:cantSplit/>
        </w:trPr>
        <w:tc>
          <w:tcPr>
            <w:tcW w:w="1228" w:type="dxa"/>
          </w:tcPr>
          <w:p w:rsidR="00D25846" w:rsidRPr="00B77095" w:rsidRDefault="00D25846" w:rsidP="0093688F">
            <w:pPr>
              <w:keepNext/>
              <w:keepLines/>
              <w:spacing w:after="200" w:line="276" w:lineRule="auto"/>
              <w:rPr>
                <w:rFonts w:asciiTheme="minorHAnsi" w:eastAsiaTheme="minorHAnsi" w:hAnsiTheme="minorHAnsi" w:cstheme="minorBidi"/>
                <w:sz w:val="20"/>
                <w:szCs w:val="20"/>
              </w:rPr>
            </w:pPr>
          </w:p>
        </w:tc>
        <w:tc>
          <w:tcPr>
            <w:tcW w:w="3299" w:type="dxa"/>
          </w:tcPr>
          <w:p w:rsidR="00D25846" w:rsidRPr="00B77095" w:rsidRDefault="00D25846" w:rsidP="0093688F">
            <w:pPr>
              <w:keepNext/>
              <w:keepLines/>
              <w:spacing w:after="200" w:line="276" w:lineRule="auto"/>
              <w:rPr>
                <w:rFonts w:asciiTheme="minorHAnsi" w:eastAsiaTheme="minorHAnsi" w:hAnsiTheme="minorHAnsi" w:cstheme="minorBidi"/>
                <w:b/>
                <w:sz w:val="20"/>
                <w:szCs w:val="20"/>
              </w:rPr>
            </w:pPr>
            <w:r w:rsidRPr="00B77095">
              <w:rPr>
                <w:rFonts w:asciiTheme="minorHAnsi" w:eastAsiaTheme="minorHAnsi" w:hAnsiTheme="minorHAnsi" w:cstheme="minorBidi"/>
                <w:b/>
                <w:sz w:val="20"/>
                <w:szCs w:val="20"/>
              </w:rPr>
              <w:t>Phase 1</w:t>
            </w:r>
            <w:r>
              <w:rPr>
                <w:rFonts w:asciiTheme="minorHAnsi" w:eastAsiaTheme="minorHAnsi" w:hAnsiTheme="minorHAnsi" w:cstheme="minorBidi"/>
                <w:b/>
                <w:sz w:val="20"/>
                <w:szCs w:val="20"/>
              </w:rPr>
              <w:t xml:space="preserve"> -</w:t>
            </w:r>
            <w:r w:rsidRPr="00B77095">
              <w:rPr>
                <w:rFonts w:asciiTheme="minorHAnsi" w:eastAsiaTheme="minorHAnsi" w:hAnsiTheme="minorHAnsi" w:cstheme="minorBidi"/>
                <w:b/>
                <w:sz w:val="20"/>
                <w:szCs w:val="20"/>
              </w:rPr>
              <w:t xml:space="preserve"> Category areas</w:t>
            </w:r>
          </w:p>
        </w:tc>
        <w:tc>
          <w:tcPr>
            <w:tcW w:w="3299" w:type="dxa"/>
          </w:tcPr>
          <w:p w:rsidR="00D25846" w:rsidRPr="00B77095" w:rsidRDefault="00D25846" w:rsidP="0093688F">
            <w:pPr>
              <w:keepNext/>
              <w:keepLines/>
              <w:spacing w:after="200" w:line="276" w:lineRule="auto"/>
              <w:rPr>
                <w:rFonts w:asciiTheme="minorHAnsi" w:eastAsiaTheme="minorHAnsi" w:hAnsiTheme="minorHAnsi" w:cstheme="minorBidi"/>
                <w:b/>
                <w:sz w:val="20"/>
                <w:szCs w:val="20"/>
              </w:rPr>
            </w:pPr>
            <w:r w:rsidRPr="00B77095">
              <w:rPr>
                <w:rFonts w:asciiTheme="minorHAnsi" w:eastAsiaTheme="minorHAnsi" w:hAnsiTheme="minorHAnsi" w:cstheme="minorBidi"/>
                <w:b/>
                <w:sz w:val="20"/>
                <w:szCs w:val="20"/>
              </w:rPr>
              <w:t xml:space="preserve">Phase 2 </w:t>
            </w:r>
            <w:r>
              <w:rPr>
                <w:rFonts w:asciiTheme="minorHAnsi" w:eastAsiaTheme="minorHAnsi" w:hAnsiTheme="minorHAnsi" w:cstheme="minorBidi"/>
                <w:b/>
                <w:sz w:val="20"/>
                <w:szCs w:val="20"/>
              </w:rPr>
              <w:t xml:space="preserve">– category </w:t>
            </w:r>
            <w:r w:rsidRPr="00B77095">
              <w:rPr>
                <w:rFonts w:asciiTheme="minorHAnsi" w:eastAsiaTheme="minorHAnsi" w:hAnsiTheme="minorHAnsi" w:cstheme="minorBidi"/>
                <w:b/>
                <w:sz w:val="20"/>
                <w:szCs w:val="20"/>
              </w:rPr>
              <w:t>data requirements</w:t>
            </w:r>
          </w:p>
        </w:tc>
        <w:tc>
          <w:tcPr>
            <w:tcW w:w="3299" w:type="dxa"/>
          </w:tcPr>
          <w:p w:rsidR="00D25846" w:rsidRPr="00B77095" w:rsidRDefault="00D25846" w:rsidP="0093688F">
            <w:pPr>
              <w:keepNext/>
              <w:keepLines/>
              <w:spacing w:after="200" w:line="276" w:lineRule="auto"/>
              <w:rPr>
                <w:rFonts w:asciiTheme="minorHAnsi" w:eastAsiaTheme="minorHAnsi" w:hAnsiTheme="minorHAnsi" w:cstheme="minorBidi"/>
                <w:b/>
                <w:sz w:val="20"/>
                <w:szCs w:val="20"/>
              </w:rPr>
            </w:pPr>
            <w:r w:rsidRPr="00B77095">
              <w:rPr>
                <w:rFonts w:asciiTheme="minorHAnsi" w:eastAsiaTheme="minorHAnsi" w:hAnsiTheme="minorHAnsi" w:cstheme="minorBidi"/>
                <w:b/>
                <w:sz w:val="20"/>
                <w:szCs w:val="20"/>
              </w:rPr>
              <w:t>Phase 3</w:t>
            </w:r>
            <w:r>
              <w:rPr>
                <w:rFonts w:asciiTheme="minorHAnsi" w:eastAsiaTheme="minorHAnsi" w:hAnsiTheme="minorHAnsi" w:cstheme="minorBidi"/>
                <w:b/>
                <w:sz w:val="20"/>
                <w:szCs w:val="20"/>
              </w:rPr>
              <w:t xml:space="preserve"> - </w:t>
            </w:r>
            <w:r w:rsidRPr="00B77095">
              <w:rPr>
                <w:rFonts w:asciiTheme="minorHAnsi" w:eastAsiaTheme="minorHAnsi" w:hAnsiTheme="minorHAnsi" w:cstheme="minorBidi"/>
                <w:b/>
                <w:sz w:val="20"/>
                <w:szCs w:val="20"/>
              </w:rPr>
              <w:t>Further issues</w:t>
            </w:r>
          </w:p>
        </w:tc>
        <w:tc>
          <w:tcPr>
            <w:tcW w:w="3300" w:type="dxa"/>
          </w:tcPr>
          <w:p w:rsidR="00D25846" w:rsidRPr="00B77095" w:rsidRDefault="00D25846" w:rsidP="0093688F">
            <w:pPr>
              <w:keepNext/>
              <w:keepLines/>
              <w:spacing w:after="200" w:line="276" w:lineRule="auto"/>
              <w:rPr>
                <w:rFonts w:asciiTheme="minorHAnsi" w:eastAsiaTheme="minorHAnsi" w:hAnsiTheme="minorHAnsi" w:cstheme="minorBidi"/>
                <w:b/>
                <w:sz w:val="20"/>
                <w:szCs w:val="20"/>
              </w:rPr>
            </w:pPr>
            <w:r w:rsidRPr="00B77095">
              <w:rPr>
                <w:rFonts w:asciiTheme="minorHAnsi" w:eastAsiaTheme="minorHAnsi" w:hAnsiTheme="minorHAnsi" w:cstheme="minorBidi"/>
                <w:b/>
                <w:sz w:val="20"/>
                <w:szCs w:val="20"/>
              </w:rPr>
              <w:t>Phase 4</w:t>
            </w:r>
            <w:r>
              <w:rPr>
                <w:rFonts w:asciiTheme="minorHAnsi" w:eastAsiaTheme="minorHAnsi" w:hAnsiTheme="minorHAnsi" w:cstheme="minorBidi"/>
                <w:b/>
                <w:sz w:val="20"/>
                <w:szCs w:val="20"/>
              </w:rPr>
              <w:t xml:space="preserve"> - </w:t>
            </w:r>
            <w:r w:rsidRPr="00B77095">
              <w:rPr>
                <w:rFonts w:asciiTheme="minorHAnsi" w:eastAsiaTheme="minorHAnsi" w:hAnsiTheme="minorHAnsi" w:cstheme="minorBidi"/>
                <w:b/>
                <w:sz w:val="20"/>
                <w:szCs w:val="20"/>
              </w:rPr>
              <w:t>Assessment techniques</w:t>
            </w:r>
          </w:p>
        </w:tc>
      </w:tr>
      <w:tr w:rsidR="00D25846" w:rsidRPr="00B77095" w:rsidTr="0093688F">
        <w:trPr>
          <w:cantSplit/>
        </w:trPr>
        <w:tc>
          <w:tcPr>
            <w:tcW w:w="1228" w:type="dxa"/>
          </w:tcPr>
          <w:p w:rsidR="00D25846" w:rsidRPr="00B77095" w:rsidRDefault="00D25846" w:rsidP="0093688F">
            <w:pPr>
              <w:keepNext/>
              <w:keepLines/>
              <w:spacing w:after="200" w:line="276" w:lineRule="auto"/>
              <w:rPr>
                <w:rFonts w:asciiTheme="minorHAnsi" w:eastAsiaTheme="minorHAnsi" w:hAnsiTheme="minorHAnsi" w:cstheme="minorBidi"/>
                <w:i/>
                <w:sz w:val="20"/>
                <w:szCs w:val="20"/>
              </w:rPr>
            </w:pPr>
            <w:r w:rsidRPr="00B77095">
              <w:rPr>
                <w:rFonts w:asciiTheme="minorHAnsi" w:eastAsiaTheme="minorHAnsi" w:hAnsiTheme="minorHAnsi" w:cstheme="minorBidi"/>
                <w:i/>
                <w:sz w:val="20"/>
                <w:szCs w:val="20"/>
              </w:rPr>
              <w:t>General theme</w:t>
            </w:r>
          </w:p>
        </w:tc>
        <w:tc>
          <w:tcPr>
            <w:tcW w:w="3299" w:type="dxa"/>
          </w:tcPr>
          <w:p w:rsidR="00D25846" w:rsidRPr="00B77095" w:rsidRDefault="00D25846" w:rsidP="0093688F">
            <w:pPr>
              <w:keepNext/>
              <w:keepLines/>
              <w:spacing w:after="200" w:line="276" w:lineRule="auto"/>
              <w:rPr>
                <w:rFonts w:asciiTheme="minorHAnsi" w:eastAsiaTheme="minorHAnsi" w:hAnsiTheme="minorHAnsi" w:cstheme="minorBidi"/>
                <w:i/>
                <w:sz w:val="20"/>
                <w:szCs w:val="20"/>
              </w:rPr>
            </w:pPr>
            <w:r w:rsidRPr="00B77095">
              <w:rPr>
                <w:rFonts w:asciiTheme="minorHAnsi" w:eastAsiaTheme="minorHAnsi" w:hAnsiTheme="minorHAnsi" w:cstheme="minorBidi"/>
                <w:i/>
                <w:sz w:val="20"/>
                <w:szCs w:val="20"/>
              </w:rPr>
              <w:t>Bed down the factors that the AER must consider when determining forecast expenditure.</w:t>
            </w:r>
          </w:p>
          <w:p w:rsidR="00D25846" w:rsidRPr="00B77095" w:rsidRDefault="00D25846" w:rsidP="0093688F">
            <w:pPr>
              <w:keepNext/>
              <w:keepLines/>
              <w:spacing w:after="200" w:line="276" w:lineRule="auto"/>
              <w:rPr>
                <w:rFonts w:asciiTheme="minorHAnsi" w:eastAsiaTheme="minorHAnsi" w:hAnsiTheme="minorHAnsi" w:cstheme="minorBidi"/>
                <w:i/>
                <w:sz w:val="20"/>
                <w:szCs w:val="20"/>
              </w:rPr>
            </w:pPr>
            <w:r w:rsidRPr="00B77095">
              <w:rPr>
                <w:rFonts w:asciiTheme="minorHAnsi" w:eastAsiaTheme="minorHAnsi" w:hAnsiTheme="minorHAnsi" w:cstheme="minorBidi"/>
                <w:i/>
                <w:sz w:val="20"/>
                <w:szCs w:val="20"/>
              </w:rPr>
              <w:t>Determine categories in which expenditure must be forecast / modelled and the factors / issues relevant to each area.</w:t>
            </w:r>
          </w:p>
        </w:tc>
        <w:tc>
          <w:tcPr>
            <w:tcW w:w="3299" w:type="dxa"/>
          </w:tcPr>
          <w:p w:rsidR="00D25846" w:rsidRPr="00B77095" w:rsidRDefault="00D25846" w:rsidP="0093688F">
            <w:pPr>
              <w:keepNext/>
              <w:keepLines/>
              <w:spacing w:after="200" w:line="276" w:lineRule="auto"/>
              <w:rPr>
                <w:rFonts w:asciiTheme="minorHAnsi" w:eastAsiaTheme="minorHAnsi" w:hAnsiTheme="minorHAnsi" w:cstheme="minorBidi"/>
                <w:i/>
                <w:sz w:val="20"/>
                <w:szCs w:val="20"/>
              </w:rPr>
            </w:pPr>
            <w:r w:rsidRPr="00B77095">
              <w:rPr>
                <w:rFonts w:asciiTheme="minorHAnsi" w:eastAsiaTheme="minorHAnsi" w:hAnsiTheme="minorHAnsi" w:cstheme="minorBidi"/>
                <w:i/>
                <w:sz w:val="20"/>
                <w:szCs w:val="20"/>
              </w:rPr>
              <w:t>Bed down the main approach to categorising the activities undertaken by NSPs (and the expenditure incurred in doing them). Derive from this initial categorisation appropriate</w:t>
            </w:r>
            <w:r>
              <w:rPr>
                <w:rFonts w:asciiTheme="minorHAnsi" w:eastAsiaTheme="minorHAnsi" w:hAnsiTheme="minorHAnsi" w:cstheme="minorBidi"/>
                <w:i/>
                <w:sz w:val="20"/>
                <w:szCs w:val="20"/>
              </w:rPr>
              <w:t xml:space="preserve"> measures of explanatory variables</w:t>
            </w:r>
            <w:r w:rsidRPr="00B77095">
              <w:rPr>
                <w:rFonts w:asciiTheme="minorHAnsi" w:eastAsiaTheme="minorHAnsi" w:hAnsiTheme="minorHAnsi" w:cstheme="minorBidi"/>
                <w:i/>
                <w:sz w:val="20"/>
                <w:szCs w:val="20"/>
              </w:rPr>
              <w:t>.</w:t>
            </w:r>
          </w:p>
        </w:tc>
        <w:tc>
          <w:tcPr>
            <w:tcW w:w="3299" w:type="dxa"/>
          </w:tcPr>
          <w:p w:rsidR="00D25846" w:rsidRPr="00B77095" w:rsidRDefault="00D25846" w:rsidP="0093688F">
            <w:pPr>
              <w:keepNext/>
              <w:keepLines/>
              <w:spacing w:after="200" w:line="276" w:lineRule="auto"/>
              <w:rPr>
                <w:rFonts w:asciiTheme="minorHAnsi" w:eastAsiaTheme="minorHAnsi" w:hAnsiTheme="minorHAnsi" w:cstheme="minorBidi"/>
                <w:i/>
                <w:sz w:val="20"/>
                <w:szCs w:val="20"/>
              </w:rPr>
            </w:pPr>
            <w:r w:rsidRPr="00B77095">
              <w:rPr>
                <w:rFonts w:asciiTheme="minorHAnsi" w:eastAsiaTheme="minorHAnsi" w:hAnsiTheme="minorHAnsi" w:cstheme="minorBidi"/>
                <w:i/>
                <w:sz w:val="20"/>
                <w:szCs w:val="20"/>
              </w:rPr>
              <w:t>Resolving other regulatory issues that may affect the makeup of datasets but are not related to main categories of NSP expenditure.</w:t>
            </w:r>
          </w:p>
        </w:tc>
        <w:tc>
          <w:tcPr>
            <w:tcW w:w="3300" w:type="dxa"/>
          </w:tcPr>
          <w:p w:rsidR="00D25846" w:rsidRPr="00B77095" w:rsidRDefault="00D25846" w:rsidP="0093688F">
            <w:pPr>
              <w:keepNext/>
              <w:keepLines/>
              <w:spacing w:after="200" w:line="276" w:lineRule="auto"/>
              <w:rPr>
                <w:rFonts w:asciiTheme="minorHAnsi" w:eastAsiaTheme="minorHAnsi" w:hAnsiTheme="minorHAnsi" w:cstheme="minorBidi"/>
                <w:i/>
                <w:sz w:val="20"/>
                <w:szCs w:val="20"/>
              </w:rPr>
            </w:pPr>
            <w:r w:rsidRPr="00B77095">
              <w:rPr>
                <w:rFonts w:asciiTheme="minorHAnsi" w:eastAsiaTheme="minorHAnsi" w:hAnsiTheme="minorHAnsi" w:cstheme="minorBidi"/>
                <w:i/>
                <w:sz w:val="20"/>
                <w:szCs w:val="20"/>
              </w:rPr>
              <w:t>Discuss the complex manipulations to the datasets that are likely to occur as part of the assessment process (simple manipulations may be excluded).</w:t>
            </w:r>
          </w:p>
        </w:tc>
      </w:tr>
      <w:tr w:rsidR="00D25846" w:rsidRPr="00B77095" w:rsidTr="0093688F">
        <w:trPr>
          <w:cantSplit/>
        </w:trPr>
        <w:tc>
          <w:tcPr>
            <w:tcW w:w="1228" w:type="dxa"/>
          </w:tcPr>
          <w:p w:rsidR="00D25846" w:rsidRPr="00B77095" w:rsidRDefault="00D25846" w:rsidP="0093688F">
            <w:pPr>
              <w:keepNext/>
              <w:keepLines/>
              <w:spacing w:after="120"/>
              <w:rPr>
                <w:rFonts w:asciiTheme="minorHAnsi" w:eastAsiaTheme="minorHAnsi" w:hAnsiTheme="minorHAnsi" w:cstheme="minorBidi"/>
                <w:sz w:val="20"/>
                <w:szCs w:val="20"/>
              </w:rPr>
            </w:pPr>
            <w:r>
              <w:rPr>
                <w:sz w:val="20"/>
                <w:szCs w:val="20"/>
              </w:rPr>
              <w:t>First meeting of phase</w:t>
            </w:r>
          </w:p>
        </w:tc>
        <w:tc>
          <w:tcPr>
            <w:tcW w:w="3299" w:type="dxa"/>
          </w:tcPr>
          <w:p w:rsidR="00D25846" w:rsidRDefault="00D25846" w:rsidP="0093688F">
            <w:pPr>
              <w:pStyle w:val="ListParagraph"/>
              <w:keepNext/>
              <w:keepLines/>
              <w:spacing w:after="120"/>
              <w:ind w:left="0"/>
              <w:rPr>
                <w:rFonts w:asciiTheme="minorHAnsi" w:eastAsiaTheme="minorHAnsi" w:hAnsiTheme="minorHAnsi" w:cstheme="minorBidi"/>
                <w:sz w:val="20"/>
                <w:szCs w:val="20"/>
              </w:rPr>
            </w:pPr>
            <w:r>
              <w:rPr>
                <w:rFonts w:asciiTheme="minorHAnsi" w:eastAsiaTheme="minorHAnsi" w:hAnsiTheme="minorHAnsi" w:cstheme="minorBidi"/>
                <w:sz w:val="20"/>
                <w:szCs w:val="20"/>
              </w:rPr>
              <w:t xml:space="preserve">Workshop 1.1 - </w:t>
            </w:r>
            <w:r w:rsidRPr="00B77095">
              <w:rPr>
                <w:rFonts w:asciiTheme="minorHAnsi" w:eastAsiaTheme="minorHAnsi" w:hAnsiTheme="minorHAnsi" w:cstheme="minorBidi"/>
                <w:sz w:val="20"/>
                <w:szCs w:val="20"/>
              </w:rPr>
              <w:t xml:space="preserve">Category </w:t>
            </w:r>
            <w:r>
              <w:rPr>
                <w:rFonts w:asciiTheme="minorHAnsi" w:eastAsiaTheme="minorHAnsi" w:hAnsiTheme="minorHAnsi" w:cstheme="minorBidi"/>
                <w:sz w:val="20"/>
                <w:szCs w:val="20"/>
              </w:rPr>
              <w:t>selection</w:t>
            </w:r>
          </w:p>
          <w:p w:rsidR="00D25846" w:rsidRDefault="00D25846" w:rsidP="0093688F">
            <w:pPr>
              <w:pStyle w:val="ListParagraph"/>
              <w:keepNext/>
              <w:keepLines/>
              <w:numPr>
                <w:ilvl w:val="0"/>
                <w:numId w:val="7"/>
              </w:numPr>
              <w:spacing w:after="120"/>
              <w:ind w:left="417"/>
              <w:rPr>
                <w:rFonts w:asciiTheme="minorHAnsi" w:eastAsiaTheme="minorHAnsi" w:hAnsiTheme="minorHAnsi" w:cstheme="minorBidi"/>
                <w:sz w:val="20"/>
                <w:szCs w:val="20"/>
              </w:rPr>
            </w:pPr>
            <w:r>
              <w:rPr>
                <w:rFonts w:asciiTheme="minorHAnsi" w:eastAsiaTheme="minorHAnsi" w:hAnsiTheme="minorHAnsi" w:cstheme="minorBidi"/>
                <w:sz w:val="20"/>
                <w:szCs w:val="20"/>
              </w:rPr>
              <w:t>Objectives and principles for selection</w:t>
            </w:r>
          </w:p>
          <w:p w:rsidR="00D25846" w:rsidRPr="009E75DD" w:rsidRDefault="00D25846" w:rsidP="0093688F">
            <w:pPr>
              <w:pStyle w:val="ListParagraph"/>
              <w:keepNext/>
              <w:keepLines/>
              <w:numPr>
                <w:ilvl w:val="0"/>
                <w:numId w:val="7"/>
              </w:numPr>
              <w:spacing w:after="120"/>
              <w:ind w:left="417"/>
              <w:rPr>
                <w:rFonts w:asciiTheme="minorHAnsi" w:eastAsiaTheme="minorHAnsi" w:hAnsiTheme="minorHAnsi" w:cstheme="minorBidi"/>
                <w:sz w:val="20"/>
                <w:szCs w:val="20"/>
              </w:rPr>
            </w:pPr>
            <w:r>
              <w:rPr>
                <w:rFonts w:asciiTheme="minorHAnsi" w:eastAsiaTheme="minorHAnsi" w:hAnsiTheme="minorHAnsi" w:cstheme="minorBidi"/>
                <w:sz w:val="20"/>
                <w:szCs w:val="20"/>
              </w:rPr>
              <w:t>General definitional issues</w:t>
            </w:r>
          </w:p>
          <w:p w:rsidR="00D25846" w:rsidRPr="00B77095" w:rsidRDefault="00D25846" w:rsidP="0093688F">
            <w:pPr>
              <w:pStyle w:val="ListParagraph"/>
              <w:keepNext/>
              <w:keepLines/>
              <w:spacing w:after="120"/>
              <w:ind w:left="0"/>
              <w:rPr>
                <w:rFonts w:asciiTheme="minorHAnsi" w:eastAsiaTheme="minorHAnsi" w:hAnsiTheme="minorHAnsi" w:cstheme="minorBidi"/>
                <w:sz w:val="20"/>
                <w:szCs w:val="20"/>
              </w:rPr>
            </w:pPr>
          </w:p>
        </w:tc>
        <w:tc>
          <w:tcPr>
            <w:tcW w:w="3299" w:type="dxa"/>
          </w:tcPr>
          <w:p w:rsidR="00D25846" w:rsidRPr="001A22A7" w:rsidRDefault="00D25846" w:rsidP="0093688F">
            <w:pPr>
              <w:keepNext/>
              <w:keepLines/>
              <w:spacing w:after="120"/>
              <w:rPr>
                <w:rFonts w:asciiTheme="minorHAnsi" w:eastAsiaTheme="minorHAnsi" w:hAnsiTheme="minorHAnsi" w:cstheme="minorBidi"/>
                <w:sz w:val="20"/>
                <w:szCs w:val="20"/>
              </w:rPr>
            </w:pPr>
            <w:r>
              <w:rPr>
                <w:rFonts w:asciiTheme="minorHAnsi" w:eastAsiaTheme="minorHAnsi" w:hAnsiTheme="minorHAnsi" w:cstheme="minorBidi"/>
                <w:sz w:val="20"/>
                <w:szCs w:val="20"/>
              </w:rPr>
              <w:t xml:space="preserve">Workshop 2.1 - </w:t>
            </w:r>
            <w:r w:rsidRPr="002A2778">
              <w:rPr>
                <w:rFonts w:asciiTheme="minorHAnsi" w:eastAsiaTheme="minorHAnsi" w:hAnsiTheme="minorHAnsi" w:cstheme="minorBidi"/>
                <w:sz w:val="20"/>
                <w:szCs w:val="20"/>
              </w:rPr>
              <w:t>Capex 1</w:t>
            </w:r>
          </w:p>
          <w:p w:rsidR="00D25846" w:rsidRPr="001A22A7" w:rsidRDefault="00D25846" w:rsidP="0093688F">
            <w:pPr>
              <w:pStyle w:val="ListParagraph"/>
              <w:keepNext/>
              <w:keepLines/>
              <w:numPr>
                <w:ilvl w:val="0"/>
                <w:numId w:val="7"/>
              </w:numPr>
              <w:spacing w:after="120"/>
              <w:ind w:left="417"/>
              <w:rPr>
                <w:rFonts w:asciiTheme="minorHAnsi" w:eastAsiaTheme="minorHAnsi" w:hAnsiTheme="minorHAnsi" w:cstheme="minorBidi"/>
                <w:sz w:val="20"/>
                <w:szCs w:val="20"/>
              </w:rPr>
            </w:pPr>
            <w:r w:rsidRPr="002A2778">
              <w:rPr>
                <w:rFonts w:asciiTheme="minorHAnsi" w:eastAsiaTheme="minorHAnsi" w:hAnsiTheme="minorHAnsi" w:cstheme="minorBidi"/>
                <w:sz w:val="20"/>
                <w:szCs w:val="20"/>
              </w:rPr>
              <w:t>Replacement</w:t>
            </w:r>
          </w:p>
          <w:p w:rsidR="00D25846" w:rsidRPr="001A22A7" w:rsidRDefault="00D25846" w:rsidP="0093688F">
            <w:pPr>
              <w:pStyle w:val="ListParagraph"/>
              <w:keepNext/>
              <w:keepLines/>
              <w:numPr>
                <w:ilvl w:val="0"/>
                <w:numId w:val="7"/>
              </w:numPr>
              <w:spacing w:after="120"/>
              <w:ind w:left="417"/>
              <w:rPr>
                <w:rFonts w:asciiTheme="minorHAnsi" w:eastAsiaTheme="minorHAnsi" w:hAnsiTheme="minorHAnsi" w:cstheme="minorBidi"/>
                <w:sz w:val="20"/>
                <w:szCs w:val="20"/>
              </w:rPr>
            </w:pPr>
            <w:r w:rsidRPr="002A2778">
              <w:rPr>
                <w:rFonts w:asciiTheme="minorHAnsi" w:eastAsiaTheme="minorHAnsi" w:hAnsiTheme="minorHAnsi" w:cstheme="minorBidi"/>
                <w:sz w:val="20"/>
                <w:szCs w:val="20"/>
              </w:rPr>
              <w:t xml:space="preserve">Demand driven (distribution) </w:t>
            </w:r>
          </w:p>
          <w:p w:rsidR="00D25846" w:rsidRPr="001A22A7" w:rsidRDefault="00D25846" w:rsidP="0093688F">
            <w:pPr>
              <w:pStyle w:val="ListParagraph"/>
              <w:keepNext/>
              <w:keepLines/>
              <w:numPr>
                <w:ilvl w:val="0"/>
                <w:numId w:val="7"/>
              </w:numPr>
              <w:spacing w:after="120"/>
              <w:ind w:left="417"/>
              <w:rPr>
                <w:rFonts w:asciiTheme="minorHAnsi" w:eastAsiaTheme="minorHAnsi" w:hAnsiTheme="minorHAnsi" w:cstheme="minorBidi"/>
                <w:sz w:val="20"/>
                <w:szCs w:val="20"/>
              </w:rPr>
            </w:pPr>
            <w:r w:rsidRPr="002A2778">
              <w:rPr>
                <w:rFonts w:asciiTheme="minorHAnsi" w:eastAsiaTheme="minorHAnsi" w:hAnsiTheme="minorHAnsi" w:cstheme="minorBidi"/>
                <w:sz w:val="20"/>
                <w:szCs w:val="20"/>
              </w:rPr>
              <w:t xml:space="preserve">Demand driven (transmission) </w:t>
            </w:r>
          </w:p>
          <w:p w:rsidR="00D25846" w:rsidRPr="001A22A7" w:rsidRDefault="00D25846" w:rsidP="0093688F">
            <w:pPr>
              <w:pStyle w:val="ListParagraph"/>
              <w:keepNext/>
              <w:keepLines/>
              <w:numPr>
                <w:ilvl w:val="0"/>
                <w:numId w:val="7"/>
              </w:numPr>
              <w:spacing w:after="120"/>
              <w:ind w:left="417"/>
              <w:rPr>
                <w:rFonts w:asciiTheme="minorHAnsi" w:eastAsiaTheme="minorHAnsi" w:hAnsiTheme="minorHAnsi" w:cstheme="minorBidi"/>
                <w:sz w:val="20"/>
                <w:szCs w:val="20"/>
              </w:rPr>
            </w:pPr>
            <w:r w:rsidRPr="002A2778">
              <w:rPr>
                <w:rFonts w:asciiTheme="minorHAnsi" w:eastAsiaTheme="minorHAnsi" w:hAnsiTheme="minorHAnsi" w:cstheme="minorBidi"/>
                <w:sz w:val="20"/>
                <w:szCs w:val="20"/>
              </w:rPr>
              <w:t>Other</w:t>
            </w:r>
          </w:p>
        </w:tc>
        <w:tc>
          <w:tcPr>
            <w:tcW w:w="3299" w:type="dxa"/>
          </w:tcPr>
          <w:p w:rsidR="00D25846" w:rsidRDefault="00D25846" w:rsidP="0093688F">
            <w:pPr>
              <w:pStyle w:val="ListParagraph"/>
              <w:keepNext/>
              <w:keepLines/>
              <w:spacing w:after="120"/>
              <w:ind w:left="57"/>
              <w:rPr>
                <w:rFonts w:asciiTheme="minorHAnsi" w:eastAsiaTheme="minorHAnsi" w:hAnsiTheme="minorHAnsi" w:cstheme="minorBidi"/>
                <w:sz w:val="20"/>
                <w:szCs w:val="20"/>
              </w:rPr>
            </w:pPr>
            <w:r>
              <w:rPr>
                <w:rFonts w:asciiTheme="minorHAnsi" w:eastAsiaTheme="minorHAnsi" w:hAnsiTheme="minorHAnsi" w:cstheme="minorBidi"/>
                <w:sz w:val="20"/>
                <w:szCs w:val="20"/>
              </w:rPr>
              <w:t>Workshop 3.1</w:t>
            </w:r>
          </w:p>
          <w:p w:rsidR="00D25846" w:rsidRPr="00B77095" w:rsidRDefault="00D25846" w:rsidP="0093688F">
            <w:pPr>
              <w:pStyle w:val="ListParagraph"/>
              <w:keepNext/>
              <w:keepLines/>
              <w:numPr>
                <w:ilvl w:val="0"/>
                <w:numId w:val="7"/>
              </w:numPr>
              <w:spacing w:after="120"/>
              <w:ind w:left="417"/>
              <w:rPr>
                <w:rFonts w:asciiTheme="minorHAnsi" w:eastAsiaTheme="minorHAnsi" w:hAnsiTheme="minorHAnsi" w:cstheme="minorBidi"/>
                <w:sz w:val="20"/>
                <w:szCs w:val="20"/>
              </w:rPr>
            </w:pPr>
            <w:r w:rsidRPr="00B77095">
              <w:rPr>
                <w:rFonts w:asciiTheme="minorHAnsi" w:eastAsiaTheme="minorHAnsi" w:hAnsiTheme="minorHAnsi" w:cstheme="minorBidi"/>
                <w:sz w:val="20"/>
                <w:szCs w:val="20"/>
              </w:rPr>
              <w:t>Use of actual data and incentives</w:t>
            </w:r>
          </w:p>
          <w:p w:rsidR="00D25846" w:rsidRPr="00B77095" w:rsidRDefault="00D25846" w:rsidP="0093688F">
            <w:pPr>
              <w:pStyle w:val="ListParagraph"/>
              <w:keepNext/>
              <w:keepLines/>
              <w:numPr>
                <w:ilvl w:val="0"/>
                <w:numId w:val="7"/>
              </w:numPr>
              <w:spacing w:after="120"/>
              <w:ind w:left="417"/>
              <w:rPr>
                <w:rFonts w:asciiTheme="minorHAnsi" w:eastAsiaTheme="minorHAnsi" w:hAnsiTheme="minorHAnsi" w:cstheme="minorBidi"/>
                <w:sz w:val="20"/>
                <w:szCs w:val="20"/>
              </w:rPr>
            </w:pPr>
            <w:r w:rsidRPr="00B77095">
              <w:rPr>
                <w:rFonts w:asciiTheme="minorHAnsi" w:eastAsiaTheme="minorHAnsi" w:hAnsiTheme="minorHAnsi" w:cstheme="minorBidi"/>
                <w:sz w:val="20"/>
                <w:szCs w:val="20"/>
              </w:rPr>
              <w:t>Base step and trend approach</w:t>
            </w:r>
          </w:p>
          <w:p w:rsidR="00D25846" w:rsidRPr="00B77095" w:rsidRDefault="00D25846" w:rsidP="0093688F">
            <w:pPr>
              <w:pStyle w:val="ListParagraph"/>
              <w:keepNext/>
              <w:keepLines/>
              <w:numPr>
                <w:ilvl w:val="0"/>
                <w:numId w:val="7"/>
              </w:numPr>
              <w:spacing w:after="120"/>
              <w:ind w:left="417"/>
              <w:rPr>
                <w:rFonts w:asciiTheme="minorHAnsi" w:eastAsiaTheme="minorHAnsi" w:hAnsiTheme="minorHAnsi" w:cstheme="minorBidi"/>
                <w:sz w:val="20"/>
                <w:szCs w:val="20"/>
              </w:rPr>
            </w:pPr>
            <w:r w:rsidRPr="00B77095">
              <w:rPr>
                <w:rFonts w:asciiTheme="minorHAnsi" w:eastAsiaTheme="minorHAnsi" w:hAnsiTheme="minorHAnsi" w:cstheme="minorBidi"/>
                <w:sz w:val="20"/>
                <w:szCs w:val="20"/>
              </w:rPr>
              <w:t>Productivity &amp; technological change</w:t>
            </w:r>
            <w:r w:rsidRPr="00B77095" w:rsidDel="006162DD">
              <w:rPr>
                <w:rFonts w:asciiTheme="minorHAnsi" w:eastAsiaTheme="minorHAnsi" w:hAnsiTheme="minorHAnsi" w:cstheme="minorBidi"/>
                <w:sz w:val="20"/>
                <w:szCs w:val="20"/>
              </w:rPr>
              <w:t xml:space="preserve"> </w:t>
            </w:r>
          </w:p>
        </w:tc>
        <w:tc>
          <w:tcPr>
            <w:tcW w:w="3300" w:type="dxa"/>
          </w:tcPr>
          <w:p w:rsidR="00D25846" w:rsidRDefault="00D25846" w:rsidP="0093688F">
            <w:pPr>
              <w:pStyle w:val="ListParagraph"/>
              <w:keepNext/>
              <w:keepLines/>
              <w:spacing w:after="120"/>
              <w:ind w:left="57"/>
              <w:rPr>
                <w:rFonts w:asciiTheme="minorHAnsi" w:eastAsiaTheme="minorHAnsi" w:hAnsiTheme="minorHAnsi" w:cstheme="minorBidi"/>
                <w:sz w:val="20"/>
                <w:szCs w:val="20"/>
              </w:rPr>
            </w:pPr>
            <w:r>
              <w:rPr>
                <w:rFonts w:asciiTheme="minorHAnsi" w:eastAsiaTheme="minorHAnsi" w:hAnsiTheme="minorHAnsi" w:cstheme="minorBidi"/>
                <w:sz w:val="20"/>
                <w:szCs w:val="20"/>
              </w:rPr>
              <w:t>Workshop 4.1</w:t>
            </w:r>
          </w:p>
          <w:p w:rsidR="00D25846" w:rsidRPr="00B77095" w:rsidRDefault="00D25846" w:rsidP="0093688F">
            <w:pPr>
              <w:pStyle w:val="ListParagraph"/>
              <w:keepNext/>
              <w:keepLines/>
              <w:numPr>
                <w:ilvl w:val="0"/>
                <w:numId w:val="7"/>
              </w:numPr>
              <w:spacing w:after="120"/>
              <w:ind w:left="417"/>
              <w:rPr>
                <w:rFonts w:asciiTheme="minorHAnsi" w:eastAsiaTheme="minorHAnsi" w:hAnsiTheme="minorHAnsi" w:cstheme="minorBidi"/>
                <w:sz w:val="20"/>
                <w:szCs w:val="20"/>
              </w:rPr>
            </w:pPr>
            <w:r w:rsidRPr="00B77095">
              <w:rPr>
                <w:rFonts w:asciiTheme="minorHAnsi" w:eastAsiaTheme="minorHAnsi" w:hAnsiTheme="minorHAnsi" w:cstheme="minorBidi"/>
                <w:sz w:val="20"/>
                <w:szCs w:val="20"/>
              </w:rPr>
              <w:t>Repex model</w:t>
            </w:r>
          </w:p>
          <w:p w:rsidR="00D25846" w:rsidRPr="00B77095" w:rsidRDefault="00D25846" w:rsidP="0093688F">
            <w:pPr>
              <w:pStyle w:val="ListParagraph"/>
              <w:keepNext/>
              <w:keepLines/>
              <w:numPr>
                <w:ilvl w:val="0"/>
                <w:numId w:val="7"/>
              </w:numPr>
              <w:spacing w:after="120"/>
              <w:ind w:left="417"/>
              <w:rPr>
                <w:rFonts w:asciiTheme="minorHAnsi" w:eastAsiaTheme="minorHAnsi" w:hAnsiTheme="minorHAnsi" w:cstheme="minorBidi"/>
                <w:sz w:val="20"/>
                <w:szCs w:val="20"/>
              </w:rPr>
            </w:pPr>
            <w:proofErr w:type="spellStart"/>
            <w:r w:rsidRPr="00B77095">
              <w:rPr>
                <w:rFonts w:asciiTheme="minorHAnsi" w:eastAsiaTheme="minorHAnsi" w:hAnsiTheme="minorHAnsi" w:cstheme="minorBidi"/>
                <w:sz w:val="20"/>
                <w:szCs w:val="20"/>
              </w:rPr>
              <w:t>Augex</w:t>
            </w:r>
            <w:proofErr w:type="spellEnd"/>
            <w:r w:rsidRPr="00B77095">
              <w:rPr>
                <w:rFonts w:asciiTheme="minorHAnsi" w:eastAsiaTheme="minorHAnsi" w:hAnsiTheme="minorHAnsi" w:cstheme="minorBidi"/>
                <w:sz w:val="20"/>
                <w:szCs w:val="20"/>
              </w:rPr>
              <w:t xml:space="preserve"> model</w:t>
            </w:r>
          </w:p>
          <w:p w:rsidR="00D25846" w:rsidRPr="00B77095" w:rsidRDefault="00D25846" w:rsidP="0093688F">
            <w:pPr>
              <w:pStyle w:val="ListParagraph"/>
              <w:keepNext/>
              <w:keepLines/>
              <w:numPr>
                <w:ilvl w:val="0"/>
                <w:numId w:val="7"/>
              </w:numPr>
              <w:spacing w:after="120"/>
              <w:ind w:left="417"/>
              <w:rPr>
                <w:rFonts w:asciiTheme="minorHAnsi" w:eastAsiaTheme="minorHAnsi" w:hAnsiTheme="minorHAnsi" w:cstheme="minorBidi"/>
                <w:sz w:val="20"/>
                <w:szCs w:val="20"/>
              </w:rPr>
            </w:pPr>
            <w:r w:rsidRPr="00B77095">
              <w:rPr>
                <w:rFonts w:asciiTheme="minorHAnsi" w:eastAsiaTheme="minorHAnsi" w:hAnsiTheme="minorHAnsi" w:cstheme="minorBidi"/>
                <w:sz w:val="20"/>
                <w:szCs w:val="20"/>
              </w:rPr>
              <w:t>Demand forecasting methods</w:t>
            </w:r>
          </w:p>
        </w:tc>
      </w:tr>
      <w:tr w:rsidR="00D25846" w:rsidRPr="00B77095" w:rsidTr="0093688F">
        <w:trPr>
          <w:cantSplit/>
        </w:trPr>
        <w:tc>
          <w:tcPr>
            <w:tcW w:w="1228" w:type="dxa"/>
          </w:tcPr>
          <w:p w:rsidR="00D25846" w:rsidRPr="00B77095" w:rsidRDefault="00D25846" w:rsidP="0093688F">
            <w:pPr>
              <w:keepLines/>
              <w:spacing w:after="120"/>
              <w:rPr>
                <w:rFonts w:asciiTheme="minorHAnsi" w:eastAsiaTheme="minorHAnsi" w:hAnsiTheme="minorHAnsi" w:cstheme="minorBidi"/>
                <w:sz w:val="20"/>
                <w:szCs w:val="20"/>
              </w:rPr>
            </w:pPr>
            <w:r>
              <w:rPr>
                <w:sz w:val="20"/>
                <w:szCs w:val="20"/>
              </w:rPr>
              <w:t>Second meeting of phase</w:t>
            </w:r>
          </w:p>
        </w:tc>
        <w:tc>
          <w:tcPr>
            <w:tcW w:w="3299" w:type="dxa"/>
          </w:tcPr>
          <w:p w:rsidR="00D25846" w:rsidRPr="00B77095" w:rsidRDefault="00D25846" w:rsidP="0093688F">
            <w:pPr>
              <w:pStyle w:val="ListParagraph"/>
              <w:keepNext/>
              <w:keepLines/>
              <w:spacing w:after="120"/>
              <w:ind w:left="0"/>
              <w:rPr>
                <w:rFonts w:asciiTheme="minorHAnsi" w:eastAsiaTheme="minorHAnsi" w:hAnsiTheme="minorHAnsi" w:cstheme="minorBidi"/>
                <w:sz w:val="20"/>
                <w:szCs w:val="20"/>
              </w:rPr>
            </w:pPr>
            <w:r w:rsidRPr="00B77095">
              <w:rPr>
                <w:rFonts w:asciiTheme="minorHAnsi" w:eastAsiaTheme="minorHAnsi" w:hAnsiTheme="minorHAnsi" w:cstheme="minorBidi"/>
                <w:sz w:val="20"/>
                <w:szCs w:val="20"/>
              </w:rPr>
              <w:t>N/A</w:t>
            </w:r>
          </w:p>
        </w:tc>
        <w:tc>
          <w:tcPr>
            <w:tcW w:w="3299" w:type="dxa"/>
          </w:tcPr>
          <w:p w:rsidR="00D25846" w:rsidRPr="001A22A7" w:rsidRDefault="00D25846" w:rsidP="0093688F">
            <w:pPr>
              <w:keepNext/>
              <w:keepLines/>
              <w:spacing w:after="120"/>
              <w:rPr>
                <w:rFonts w:asciiTheme="minorHAnsi" w:eastAsiaTheme="minorHAnsi" w:hAnsiTheme="minorHAnsi" w:cstheme="minorBidi"/>
                <w:sz w:val="20"/>
                <w:szCs w:val="20"/>
              </w:rPr>
            </w:pPr>
            <w:r>
              <w:rPr>
                <w:rFonts w:asciiTheme="minorHAnsi" w:eastAsiaTheme="minorHAnsi" w:hAnsiTheme="minorHAnsi" w:cstheme="minorBidi"/>
                <w:sz w:val="20"/>
                <w:szCs w:val="20"/>
              </w:rPr>
              <w:t xml:space="preserve">Workshop 2.2 - </w:t>
            </w:r>
            <w:r w:rsidRPr="002A2778">
              <w:rPr>
                <w:rFonts w:asciiTheme="minorHAnsi" w:eastAsiaTheme="minorHAnsi" w:hAnsiTheme="minorHAnsi" w:cstheme="minorBidi"/>
                <w:sz w:val="20"/>
                <w:szCs w:val="20"/>
              </w:rPr>
              <w:t>Capex 2</w:t>
            </w:r>
          </w:p>
          <w:p w:rsidR="00D25846" w:rsidRPr="001A22A7" w:rsidRDefault="00D25846" w:rsidP="0093688F">
            <w:pPr>
              <w:pStyle w:val="ListParagraph"/>
              <w:keepNext/>
              <w:keepLines/>
              <w:numPr>
                <w:ilvl w:val="0"/>
                <w:numId w:val="7"/>
              </w:numPr>
              <w:spacing w:after="120"/>
              <w:ind w:left="417"/>
              <w:rPr>
                <w:rFonts w:asciiTheme="minorHAnsi" w:eastAsiaTheme="minorHAnsi" w:hAnsiTheme="minorHAnsi" w:cstheme="minorBidi"/>
                <w:sz w:val="20"/>
                <w:szCs w:val="20"/>
              </w:rPr>
            </w:pPr>
            <w:r w:rsidRPr="002A2778">
              <w:rPr>
                <w:rFonts w:asciiTheme="minorHAnsi" w:eastAsiaTheme="minorHAnsi" w:hAnsiTheme="minorHAnsi" w:cstheme="minorBidi"/>
                <w:sz w:val="20"/>
                <w:szCs w:val="20"/>
              </w:rPr>
              <w:t xml:space="preserve">New connections (distribution) </w:t>
            </w:r>
          </w:p>
          <w:p w:rsidR="00D25846" w:rsidRPr="001A22A7" w:rsidRDefault="00D25846" w:rsidP="0093688F">
            <w:pPr>
              <w:pStyle w:val="ListParagraph"/>
              <w:keepNext/>
              <w:keepLines/>
              <w:numPr>
                <w:ilvl w:val="0"/>
                <w:numId w:val="7"/>
              </w:numPr>
              <w:spacing w:after="120"/>
              <w:ind w:left="417"/>
              <w:rPr>
                <w:rFonts w:asciiTheme="minorHAnsi" w:eastAsiaTheme="minorHAnsi" w:hAnsiTheme="minorHAnsi" w:cstheme="minorBidi"/>
                <w:sz w:val="20"/>
                <w:szCs w:val="20"/>
              </w:rPr>
            </w:pPr>
            <w:r w:rsidRPr="002A2778">
              <w:rPr>
                <w:rFonts w:asciiTheme="minorHAnsi" w:eastAsiaTheme="minorHAnsi" w:hAnsiTheme="minorHAnsi" w:cstheme="minorBidi"/>
                <w:sz w:val="20"/>
                <w:szCs w:val="20"/>
              </w:rPr>
              <w:t xml:space="preserve">New connections (transmission) </w:t>
            </w:r>
          </w:p>
          <w:p w:rsidR="00D25846" w:rsidRPr="001A22A7" w:rsidRDefault="00D25846" w:rsidP="0093688F">
            <w:pPr>
              <w:pStyle w:val="ListParagraph"/>
              <w:keepNext/>
              <w:keepLines/>
              <w:numPr>
                <w:ilvl w:val="0"/>
                <w:numId w:val="7"/>
              </w:numPr>
              <w:spacing w:after="120"/>
              <w:ind w:left="417"/>
              <w:rPr>
                <w:rFonts w:asciiTheme="minorHAnsi" w:eastAsiaTheme="minorHAnsi" w:hAnsiTheme="minorHAnsi" w:cstheme="minorBidi"/>
                <w:sz w:val="20"/>
                <w:szCs w:val="20"/>
              </w:rPr>
            </w:pPr>
            <w:r w:rsidRPr="002A2778">
              <w:rPr>
                <w:rFonts w:asciiTheme="minorHAnsi" w:eastAsiaTheme="minorHAnsi" w:hAnsiTheme="minorHAnsi" w:cstheme="minorBidi"/>
                <w:sz w:val="20"/>
                <w:szCs w:val="20"/>
              </w:rPr>
              <w:t xml:space="preserve">Customer requested other (fee-based &amp; quoted) </w:t>
            </w:r>
          </w:p>
        </w:tc>
        <w:tc>
          <w:tcPr>
            <w:tcW w:w="3299" w:type="dxa"/>
          </w:tcPr>
          <w:p w:rsidR="00D25846" w:rsidRDefault="00D25846" w:rsidP="0093688F">
            <w:pPr>
              <w:pStyle w:val="ListParagraph"/>
              <w:keepNext/>
              <w:keepLines/>
              <w:spacing w:after="120"/>
              <w:ind w:left="57"/>
              <w:rPr>
                <w:rFonts w:asciiTheme="minorHAnsi" w:eastAsiaTheme="minorHAnsi" w:hAnsiTheme="minorHAnsi" w:cstheme="minorBidi"/>
                <w:sz w:val="20"/>
                <w:szCs w:val="20"/>
              </w:rPr>
            </w:pPr>
            <w:r>
              <w:rPr>
                <w:rFonts w:asciiTheme="minorHAnsi" w:eastAsiaTheme="minorHAnsi" w:hAnsiTheme="minorHAnsi" w:cstheme="minorBidi"/>
                <w:sz w:val="20"/>
                <w:szCs w:val="20"/>
              </w:rPr>
              <w:t>Workshop 3.2</w:t>
            </w:r>
          </w:p>
          <w:p w:rsidR="00D25846" w:rsidRPr="00B77095" w:rsidRDefault="00D25846" w:rsidP="0093688F">
            <w:pPr>
              <w:pStyle w:val="ListParagraph"/>
              <w:keepNext/>
              <w:keepLines/>
              <w:numPr>
                <w:ilvl w:val="0"/>
                <w:numId w:val="7"/>
              </w:numPr>
              <w:spacing w:after="120"/>
              <w:ind w:left="417"/>
              <w:rPr>
                <w:rFonts w:asciiTheme="minorHAnsi" w:eastAsiaTheme="minorHAnsi" w:hAnsiTheme="minorHAnsi" w:cstheme="minorBidi"/>
                <w:sz w:val="20"/>
                <w:szCs w:val="20"/>
              </w:rPr>
            </w:pPr>
            <w:r w:rsidRPr="00B77095">
              <w:rPr>
                <w:rFonts w:asciiTheme="minorHAnsi" w:eastAsiaTheme="minorHAnsi" w:hAnsiTheme="minorHAnsi" w:cstheme="minorBidi"/>
                <w:sz w:val="20"/>
                <w:szCs w:val="20"/>
              </w:rPr>
              <w:t>Reconciliation issues (statutory accounts)</w:t>
            </w:r>
          </w:p>
          <w:p w:rsidR="00D25846" w:rsidRPr="00B77095" w:rsidRDefault="00D25846" w:rsidP="0093688F">
            <w:pPr>
              <w:pStyle w:val="ListParagraph"/>
              <w:keepNext/>
              <w:keepLines/>
              <w:numPr>
                <w:ilvl w:val="0"/>
                <w:numId w:val="7"/>
              </w:numPr>
              <w:spacing w:after="120"/>
              <w:ind w:left="417"/>
              <w:rPr>
                <w:rFonts w:asciiTheme="minorHAnsi" w:eastAsiaTheme="minorHAnsi" w:hAnsiTheme="minorHAnsi" w:cstheme="minorBidi"/>
                <w:sz w:val="20"/>
                <w:szCs w:val="20"/>
              </w:rPr>
            </w:pPr>
            <w:r w:rsidRPr="00B77095">
              <w:rPr>
                <w:rFonts w:asciiTheme="minorHAnsi" w:eastAsiaTheme="minorHAnsi" w:hAnsiTheme="minorHAnsi" w:cstheme="minorBidi"/>
                <w:sz w:val="20"/>
                <w:szCs w:val="20"/>
              </w:rPr>
              <w:t>Cost allocation</w:t>
            </w:r>
          </w:p>
          <w:p w:rsidR="00D25846" w:rsidRPr="00B77095" w:rsidRDefault="00D25846" w:rsidP="0093688F">
            <w:pPr>
              <w:pStyle w:val="ListParagraph"/>
              <w:keepNext/>
              <w:keepLines/>
              <w:numPr>
                <w:ilvl w:val="0"/>
                <w:numId w:val="7"/>
              </w:numPr>
              <w:spacing w:after="120"/>
              <w:ind w:left="417"/>
              <w:rPr>
                <w:rFonts w:asciiTheme="minorHAnsi" w:eastAsiaTheme="minorHAnsi" w:hAnsiTheme="minorHAnsi" w:cstheme="minorBidi"/>
                <w:sz w:val="20"/>
                <w:szCs w:val="20"/>
              </w:rPr>
            </w:pPr>
            <w:r>
              <w:rPr>
                <w:rFonts w:asciiTheme="minorHAnsi" w:eastAsiaTheme="minorHAnsi" w:hAnsiTheme="minorHAnsi" w:cstheme="minorBidi"/>
                <w:sz w:val="20"/>
                <w:szCs w:val="20"/>
              </w:rPr>
              <w:t>Capitalisation policies</w:t>
            </w:r>
          </w:p>
        </w:tc>
        <w:tc>
          <w:tcPr>
            <w:tcW w:w="3300" w:type="dxa"/>
          </w:tcPr>
          <w:p w:rsidR="00D25846" w:rsidRDefault="00D25846" w:rsidP="0093688F">
            <w:pPr>
              <w:pStyle w:val="ListParagraph"/>
              <w:keepNext/>
              <w:keepLines/>
              <w:spacing w:after="120"/>
              <w:ind w:left="57"/>
              <w:rPr>
                <w:rFonts w:asciiTheme="minorHAnsi" w:eastAsiaTheme="minorHAnsi" w:hAnsiTheme="minorHAnsi" w:cstheme="minorBidi"/>
                <w:sz w:val="20"/>
                <w:szCs w:val="20"/>
              </w:rPr>
            </w:pPr>
            <w:r w:rsidRPr="00DD5C28">
              <w:rPr>
                <w:rFonts w:asciiTheme="minorHAnsi" w:eastAsiaTheme="minorHAnsi" w:hAnsiTheme="minorHAnsi" w:cstheme="minorBidi"/>
                <w:sz w:val="20"/>
                <w:szCs w:val="20"/>
              </w:rPr>
              <w:t>N/A</w:t>
            </w:r>
            <w:r w:rsidRPr="00B77095" w:rsidDel="00BF2777">
              <w:rPr>
                <w:rFonts w:asciiTheme="minorHAnsi" w:eastAsiaTheme="minorHAnsi" w:hAnsiTheme="minorHAnsi" w:cstheme="minorBidi"/>
                <w:sz w:val="20"/>
                <w:szCs w:val="20"/>
              </w:rPr>
              <w:t xml:space="preserve"> </w:t>
            </w:r>
          </w:p>
        </w:tc>
      </w:tr>
      <w:tr w:rsidR="00D25846" w:rsidRPr="00B77095" w:rsidTr="0093688F">
        <w:trPr>
          <w:cantSplit/>
        </w:trPr>
        <w:tc>
          <w:tcPr>
            <w:tcW w:w="1228" w:type="dxa"/>
          </w:tcPr>
          <w:p w:rsidR="00D25846" w:rsidRPr="00B77095" w:rsidRDefault="00D25846" w:rsidP="0093688F">
            <w:pPr>
              <w:keepLines/>
              <w:spacing w:after="120"/>
              <w:rPr>
                <w:rFonts w:asciiTheme="minorHAnsi" w:eastAsiaTheme="minorHAnsi" w:hAnsiTheme="minorHAnsi" w:cstheme="minorBidi"/>
                <w:sz w:val="20"/>
                <w:szCs w:val="20"/>
              </w:rPr>
            </w:pPr>
            <w:r>
              <w:rPr>
                <w:sz w:val="20"/>
                <w:szCs w:val="20"/>
              </w:rPr>
              <w:lastRenderedPageBreak/>
              <w:t>Third meeting of phase</w:t>
            </w:r>
          </w:p>
        </w:tc>
        <w:tc>
          <w:tcPr>
            <w:tcW w:w="3299" w:type="dxa"/>
          </w:tcPr>
          <w:p w:rsidR="00D25846" w:rsidRPr="00B77095" w:rsidRDefault="00D25846" w:rsidP="0093688F">
            <w:pPr>
              <w:pStyle w:val="ListParagraph"/>
              <w:keepNext/>
              <w:keepLines/>
              <w:spacing w:after="120"/>
              <w:ind w:left="0"/>
              <w:rPr>
                <w:rFonts w:asciiTheme="minorHAnsi" w:eastAsiaTheme="minorHAnsi" w:hAnsiTheme="minorHAnsi" w:cstheme="minorBidi"/>
                <w:sz w:val="20"/>
                <w:szCs w:val="20"/>
              </w:rPr>
            </w:pPr>
            <w:r w:rsidRPr="00B77095">
              <w:rPr>
                <w:rFonts w:asciiTheme="minorHAnsi" w:eastAsiaTheme="minorHAnsi" w:hAnsiTheme="minorHAnsi" w:cstheme="minorBidi"/>
                <w:sz w:val="20"/>
                <w:szCs w:val="20"/>
              </w:rPr>
              <w:t>N/A</w:t>
            </w:r>
          </w:p>
        </w:tc>
        <w:tc>
          <w:tcPr>
            <w:tcW w:w="3299" w:type="dxa"/>
          </w:tcPr>
          <w:p w:rsidR="00D25846" w:rsidRPr="001A22A7" w:rsidRDefault="00D25846" w:rsidP="0093688F">
            <w:pPr>
              <w:keepNext/>
              <w:keepLines/>
              <w:spacing w:after="120"/>
              <w:rPr>
                <w:rFonts w:asciiTheme="minorHAnsi" w:eastAsiaTheme="minorHAnsi" w:hAnsiTheme="minorHAnsi" w:cstheme="minorBidi"/>
                <w:sz w:val="20"/>
                <w:szCs w:val="20"/>
              </w:rPr>
            </w:pPr>
            <w:r>
              <w:rPr>
                <w:rFonts w:asciiTheme="minorHAnsi" w:eastAsiaTheme="minorHAnsi" w:hAnsiTheme="minorHAnsi" w:cstheme="minorBidi"/>
                <w:sz w:val="20"/>
                <w:szCs w:val="20"/>
              </w:rPr>
              <w:t xml:space="preserve">Workshop 2.3 - </w:t>
            </w:r>
            <w:r w:rsidRPr="002A2778">
              <w:rPr>
                <w:rFonts w:asciiTheme="minorHAnsi" w:eastAsiaTheme="minorHAnsi" w:hAnsiTheme="minorHAnsi" w:cstheme="minorBidi"/>
                <w:sz w:val="20"/>
                <w:szCs w:val="20"/>
              </w:rPr>
              <w:t>Opex</w:t>
            </w:r>
          </w:p>
          <w:p w:rsidR="00D25846" w:rsidRPr="001A22A7" w:rsidRDefault="00D25846" w:rsidP="0093688F">
            <w:pPr>
              <w:pStyle w:val="ListParagraph"/>
              <w:keepNext/>
              <w:keepLines/>
              <w:numPr>
                <w:ilvl w:val="0"/>
                <w:numId w:val="7"/>
              </w:numPr>
              <w:spacing w:after="120"/>
              <w:ind w:left="417"/>
              <w:rPr>
                <w:rFonts w:asciiTheme="minorHAnsi" w:eastAsiaTheme="minorHAnsi" w:hAnsiTheme="minorHAnsi" w:cstheme="minorBidi"/>
                <w:sz w:val="20"/>
                <w:szCs w:val="20"/>
              </w:rPr>
            </w:pPr>
            <w:r w:rsidRPr="002A2778">
              <w:rPr>
                <w:rFonts w:asciiTheme="minorHAnsi" w:eastAsiaTheme="minorHAnsi" w:hAnsiTheme="minorHAnsi" w:cstheme="minorBidi"/>
                <w:sz w:val="20"/>
                <w:szCs w:val="20"/>
              </w:rPr>
              <w:t>Maintenance (proactive and reactive)</w:t>
            </w:r>
          </w:p>
          <w:p w:rsidR="00D25846" w:rsidRPr="001A22A7" w:rsidRDefault="00D25846" w:rsidP="0093688F">
            <w:pPr>
              <w:pStyle w:val="ListParagraph"/>
              <w:keepNext/>
              <w:keepLines/>
              <w:numPr>
                <w:ilvl w:val="0"/>
                <w:numId w:val="7"/>
              </w:numPr>
              <w:spacing w:after="120"/>
              <w:ind w:left="417"/>
              <w:rPr>
                <w:rFonts w:asciiTheme="minorHAnsi" w:eastAsiaTheme="minorHAnsi" w:hAnsiTheme="minorHAnsi" w:cstheme="minorBidi"/>
                <w:sz w:val="20"/>
                <w:szCs w:val="20"/>
              </w:rPr>
            </w:pPr>
            <w:r w:rsidRPr="002A2778">
              <w:rPr>
                <w:rFonts w:asciiTheme="minorHAnsi" w:eastAsiaTheme="minorHAnsi" w:hAnsiTheme="minorHAnsi" w:cstheme="minorBidi"/>
                <w:sz w:val="20"/>
                <w:szCs w:val="20"/>
              </w:rPr>
              <w:t xml:space="preserve">Emergency </w:t>
            </w:r>
          </w:p>
          <w:p w:rsidR="00D25846" w:rsidRPr="001A22A7" w:rsidRDefault="00D25846" w:rsidP="0093688F">
            <w:pPr>
              <w:pStyle w:val="ListParagraph"/>
              <w:keepNext/>
              <w:keepLines/>
              <w:numPr>
                <w:ilvl w:val="0"/>
                <w:numId w:val="7"/>
              </w:numPr>
              <w:spacing w:after="120"/>
              <w:ind w:left="417"/>
              <w:rPr>
                <w:rFonts w:asciiTheme="minorHAnsi" w:eastAsiaTheme="minorHAnsi" w:hAnsiTheme="minorHAnsi" w:cstheme="minorBidi"/>
                <w:sz w:val="20"/>
                <w:szCs w:val="20"/>
              </w:rPr>
            </w:pPr>
            <w:r w:rsidRPr="002A2778">
              <w:rPr>
                <w:rFonts w:asciiTheme="minorHAnsi" w:eastAsiaTheme="minorHAnsi" w:hAnsiTheme="minorHAnsi" w:cstheme="minorBidi"/>
                <w:sz w:val="20"/>
                <w:szCs w:val="20"/>
              </w:rPr>
              <w:t xml:space="preserve">Vegetation maintenance </w:t>
            </w:r>
          </w:p>
          <w:p w:rsidR="00D25846" w:rsidRPr="001A22A7" w:rsidRDefault="00D25846" w:rsidP="0093688F">
            <w:pPr>
              <w:pStyle w:val="ListParagraph"/>
              <w:keepNext/>
              <w:keepLines/>
              <w:numPr>
                <w:ilvl w:val="0"/>
                <w:numId w:val="7"/>
              </w:numPr>
              <w:spacing w:after="120"/>
              <w:ind w:left="417"/>
              <w:rPr>
                <w:rFonts w:asciiTheme="minorHAnsi" w:eastAsiaTheme="minorHAnsi" w:hAnsiTheme="minorHAnsi" w:cstheme="minorBidi"/>
                <w:sz w:val="20"/>
                <w:szCs w:val="20"/>
              </w:rPr>
            </w:pPr>
            <w:r w:rsidRPr="002A2778">
              <w:rPr>
                <w:rFonts w:asciiTheme="minorHAnsi" w:eastAsiaTheme="minorHAnsi" w:hAnsiTheme="minorHAnsi" w:cstheme="minorBidi"/>
                <w:sz w:val="20"/>
                <w:szCs w:val="20"/>
              </w:rPr>
              <w:t xml:space="preserve">Other expenditures </w:t>
            </w:r>
          </w:p>
        </w:tc>
        <w:tc>
          <w:tcPr>
            <w:tcW w:w="3299" w:type="dxa"/>
          </w:tcPr>
          <w:p w:rsidR="00D25846" w:rsidRDefault="00D25846" w:rsidP="0093688F">
            <w:pPr>
              <w:pStyle w:val="ListParagraph"/>
              <w:keepNext/>
              <w:keepLines/>
              <w:spacing w:after="120"/>
              <w:ind w:left="57"/>
              <w:rPr>
                <w:rFonts w:asciiTheme="minorHAnsi" w:eastAsiaTheme="minorHAnsi" w:hAnsiTheme="minorHAnsi" w:cstheme="minorBidi"/>
                <w:sz w:val="20"/>
                <w:szCs w:val="20"/>
              </w:rPr>
            </w:pPr>
            <w:r w:rsidRPr="00DD5C28">
              <w:rPr>
                <w:rFonts w:asciiTheme="minorHAnsi" w:eastAsiaTheme="minorHAnsi" w:hAnsiTheme="minorHAnsi" w:cstheme="minorBidi"/>
                <w:sz w:val="20"/>
                <w:szCs w:val="20"/>
              </w:rPr>
              <w:t>N/A</w:t>
            </w:r>
            <w:r w:rsidRPr="00B77095" w:rsidDel="006162DD">
              <w:rPr>
                <w:rFonts w:asciiTheme="minorHAnsi" w:eastAsiaTheme="minorHAnsi" w:hAnsiTheme="minorHAnsi" w:cstheme="minorBidi"/>
                <w:sz w:val="20"/>
                <w:szCs w:val="20"/>
              </w:rPr>
              <w:t xml:space="preserve"> </w:t>
            </w:r>
          </w:p>
        </w:tc>
        <w:tc>
          <w:tcPr>
            <w:tcW w:w="3300" w:type="dxa"/>
          </w:tcPr>
          <w:p w:rsidR="00D25846" w:rsidRDefault="00D25846" w:rsidP="0093688F">
            <w:r w:rsidRPr="00DD5C28">
              <w:rPr>
                <w:rFonts w:asciiTheme="minorHAnsi" w:eastAsiaTheme="minorHAnsi" w:hAnsiTheme="minorHAnsi" w:cstheme="minorBidi"/>
                <w:sz w:val="20"/>
                <w:szCs w:val="20"/>
              </w:rPr>
              <w:t>N/A</w:t>
            </w:r>
          </w:p>
        </w:tc>
      </w:tr>
      <w:tr w:rsidR="00D25846" w:rsidRPr="00B77095" w:rsidTr="0093688F">
        <w:trPr>
          <w:cantSplit/>
        </w:trPr>
        <w:tc>
          <w:tcPr>
            <w:tcW w:w="1228" w:type="dxa"/>
          </w:tcPr>
          <w:p w:rsidR="00D25846" w:rsidRPr="00B77095" w:rsidRDefault="00D25846" w:rsidP="0093688F">
            <w:pPr>
              <w:keepLines/>
              <w:spacing w:after="120"/>
              <w:rPr>
                <w:rFonts w:asciiTheme="minorHAnsi" w:eastAsiaTheme="minorHAnsi" w:hAnsiTheme="minorHAnsi" w:cstheme="minorBidi"/>
                <w:sz w:val="20"/>
                <w:szCs w:val="20"/>
              </w:rPr>
            </w:pPr>
            <w:r>
              <w:rPr>
                <w:rFonts w:asciiTheme="minorHAnsi" w:eastAsiaTheme="minorHAnsi" w:hAnsiTheme="minorHAnsi" w:cstheme="minorBidi"/>
                <w:sz w:val="20"/>
                <w:szCs w:val="20"/>
              </w:rPr>
              <w:t>Fourth meeting of phase</w:t>
            </w:r>
          </w:p>
        </w:tc>
        <w:tc>
          <w:tcPr>
            <w:tcW w:w="3299" w:type="dxa"/>
          </w:tcPr>
          <w:p w:rsidR="00D25846" w:rsidRPr="00B77095" w:rsidRDefault="00D25846" w:rsidP="0093688F">
            <w:pPr>
              <w:pStyle w:val="ListParagraph"/>
              <w:keepNext/>
              <w:keepLines/>
              <w:spacing w:after="120"/>
              <w:ind w:left="0"/>
              <w:rPr>
                <w:rFonts w:asciiTheme="minorHAnsi" w:eastAsiaTheme="minorHAnsi" w:hAnsiTheme="minorHAnsi" w:cstheme="minorBidi"/>
                <w:sz w:val="20"/>
                <w:szCs w:val="20"/>
              </w:rPr>
            </w:pPr>
            <w:r w:rsidRPr="00B77095">
              <w:rPr>
                <w:rFonts w:asciiTheme="minorHAnsi" w:eastAsiaTheme="minorHAnsi" w:hAnsiTheme="minorHAnsi" w:cstheme="minorBidi"/>
                <w:sz w:val="20"/>
                <w:szCs w:val="20"/>
              </w:rPr>
              <w:t>N/A</w:t>
            </w:r>
          </w:p>
        </w:tc>
        <w:tc>
          <w:tcPr>
            <w:tcW w:w="3299" w:type="dxa"/>
          </w:tcPr>
          <w:p w:rsidR="00D25846" w:rsidRPr="001A22A7" w:rsidRDefault="00D25846" w:rsidP="0093688F">
            <w:pPr>
              <w:keepNext/>
              <w:keepLines/>
              <w:spacing w:after="120"/>
              <w:rPr>
                <w:rFonts w:asciiTheme="minorHAnsi" w:eastAsiaTheme="minorHAnsi" w:hAnsiTheme="minorHAnsi" w:cstheme="minorBidi"/>
                <w:sz w:val="20"/>
                <w:szCs w:val="20"/>
              </w:rPr>
            </w:pPr>
            <w:r>
              <w:rPr>
                <w:rFonts w:asciiTheme="minorHAnsi" w:eastAsiaTheme="minorHAnsi" w:hAnsiTheme="minorHAnsi" w:cstheme="minorBidi"/>
                <w:sz w:val="20"/>
                <w:szCs w:val="20"/>
              </w:rPr>
              <w:t xml:space="preserve">Workshop 2.4 - </w:t>
            </w:r>
            <w:r w:rsidRPr="002A2778">
              <w:rPr>
                <w:rFonts w:asciiTheme="minorHAnsi" w:eastAsiaTheme="minorHAnsi" w:hAnsiTheme="minorHAnsi" w:cstheme="minorBidi"/>
                <w:sz w:val="20"/>
                <w:szCs w:val="20"/>
              </w:rPr>
              <w:t>Overheads</w:t>
            </w:r>
          </w:p>
          <w:p w:rsidR="00D25846" w:rsidRPr="001A22A7" w:rsidRDefault="00D25846" w:rsidP="0093688F">
            <w:pPr>
              <w:pStyle w:val="ListParagraph"/>
              <w:keepNext/>
              <w:keepLines/>
              <w:numPr>
                <w:ilvl w:val="0"/>
                <w:numId w:val="7"/>
              </w:numPr>
              <w:spacing w:after="120"/>
              <w:ind w:left="417"/>
              <w:rPr>
                <w:rFonts w:asciiTheme="minorHAnsi" w:eastAsiaTheme="minorHAnsi" w:hAnsiTheme="minorHAnsi" w:cstheme="minorBidi"/>
                <w:sz w:val="20"/>
                <w:szCs w:val="20"/>
              </w:rPr>
            </w:pPr>
            <w:r w:rsidRPr="002A2778">
              <w:rPr>
                <w:rFonts w:asciiTheme="minorHAnsi" w:eastAsiaTheme="minorHAnsi" w:hAnsiTheme="minorHAnsi" w:cstheme="minorBidi"/>
                <w:sz w:val="20"/>
                <w:szCs w:val="20"/>
              </w:rPr>
              <w:t>Direct versus indirect expenditures</w:t>
            </w:r>
          </w:p>
          <w:p w:rsidR="00D25846" w:rsidRPr="001A22A7" w:rsidRDefault="00D25846" w:rsidP="0093688F">
            <w:pPr>
              <w:pStyle w:val="ListParagraph"/>
              <w:keepNext/>
              <w:keepLines/>
              <w:numPr>
                <w:ilvl w:val="0"/>
                <w:numId w:val="7"/>
              </w:numPr>
              <w:spacing w:after="120"/>
              <w:ind w:left="417"/>
              <w:rPr>
                <w:rFonts w:asciiTheme="minorHAnsi" w:eastAsiaTheme="minorHAnsi" w:hAnsiTheme="minorHAnsi" w:cstheme="minorBidi"/>
                <w:sz w:val="20"/>
                <w:szCs w:val="20"/>
              </w:rPr>
            </w:pPr>
            <w:r w:rsidRPr="002A2778">
              <w:rPr>
                <w:rFonts w:asciiTheme="minorHAnsi" w:eastAsiaTheme="minorHAnsi" w:hAnsiTheme="minorHAnsi" w:cstheme="minorBidi"/>
                <w:sz w:val="20"/>
                <w:szCs w:val="20"/>
              </w:rPr>
              <w:t xml:space="preserve">Treatment of overheads and non-network expenditure </w:t>
            </w:r>
          </w:p>
        </w:tc>
        <w:tc>
          <w:tcPr>
            <w:tcW w:w="3299" w:type="dxa"/>
          </w:tcPr>
          <w:p w:rsidR="00D25846" w:rsidRDefault="00D25846" w:rsidP="0093688F">
            <w:pPr>
              <w:pStyle w:val="ListParagraph"/>
              <w:keepNext/>
              <w:keepLines/>
              <w:spacing w:after="120"/>
              <w:ind w:left="57"/>
              <w:rPr>
                <w:rFonts w:asciiTheme="minorHAnsi" w:eastAsiaTheme="minorHAnsi" w:hAnsiTheme="minorHAnsi" w:cstheme="minorBidi"/>
                <w:sz w:val="20"/>
                <w:szCs w:val="20"/>
              </w:rPr>
            </w:pPr>
            <w:r w:rsidRPr="00DD5C28">
              <w:rPr>
                <w:rFonts w:asciiTheme="minorHAnsi" w:eastAsiaTheme="minorHAnsi" w:hAnsiTheme="minorHAnsi" w:cstheme="minorBidi"/>
                <w:sz w:val="20"/>
                <w:szCs w:val="20"/>
              </w:rPr>
              <w:t>N/A</w:t>
            </w:r>
            <w:r w:rsidRPr="00B77095" w:rsidDel="006162DD">
              <w:rPr>
                <w:rFonts w:asciiTheme="minorHAnsi" w:eastAsiaTheme="minorHAnsi" w:hAnsiTheme="minorHAnsi" w:cstheme="minorBidi"/>
                <w:sz w:val="20"/>
                <w:szCs w:val="20"/>
              </w:rPr>
              <w:t xml:space="preserve"> </w:t>
            </w:r>
          </w:p>
        </w:tc>
        <w:tc>
          <w:tcPr>
            <w:tcW w:w="3300" w:type="dxa"/>
          </w:tcPr>
          <w:p w:rsidR="00D25846" w:rsidRDefault="00D25846" w:rsidP="0093688F">
            <w:r w:rsidRPr="00DD5C28">
              <w:rPr>
                <w:rFonts w:asciiTheme="minorHAnsi" w:eastAsiaTheme="minorHAnsi" w:hAnsiTheme="minorHAnsi" w:cstheme="minorBidi"/>
                <w:sz w:val="20"/>
                <w:szCs w:val="20"/>
              </w:rPr>
              <w:t>N/A</w:t>
            </w:r>
          </w:p>
        </w:tc>
      </w:tr>
    </w:tbl>
    <w:p w:rsidR="00D25846" w:rsidRPr="00B77095" w:rsidRDefault="00D25846" w:rsidP="00D25846">
      <w:pPr>
        <w:spacing w:after="200" w:line="276" w:lineRule="auto"/>
      </w:pPr>
    </w:p>
    <w:p w:rsidR="00D25846" w:rsidRDefault="00D25846" w:rsidP="00D25846">
      <w:pPr>
        <w:spacing w:after="200" w:line="276" w:lineRule="auto"/>
      </w:pPr>
    </w:p>
    <w:p w:rsidR="00D25846" w:rsidRDefault="00D25846" w:rsidP="00D25846">
      <w:pPr>
        <w:spacing w:after="200" w:line="276" w:lineRule="auto"/>
      </w:pPr>
    </w:p>
    <w:p w:rsidR="00D25846" w:rsidRDefault="00D25846" w:rsidP="00D25846">
      <w:pPr>
        <w:spacing w:after="200" w:line="276" w:lineRule="auto"/>
        <w:sectPr w:rsidR="00D25846" w:rsidSect="00B90EA7">
          <w:pgSz w:w="16838" w:h="11906" w:orient="landscape"/>
          <w:pgMar w:top="1440" w:right="1440" w:bottom="1440" w:left="1440" w:header="708" w:footer="708" w:gutter="0"/>
          <w:cols w:space="708"/>
          <w:docGrid w:linePitch="360"/>
        </w:sectPr>
      </w:pPr>
    </w:p>
    <w:p w:rsidR="00D25846" w:rsidRDefault="00D25846" w:rsidP="00D25846">
      <w:pPr>
        <w:keepNext/>
        <w:spacing w:after="200" w:line="276" w:lineRule="auto"/>
        <w:outlineLvl w:val="0"/>
      </w:pPr>
      <w:r>
        <w:rPr>
          <w:b/>
          <w:sz w:val="28"/>
          <w:szCs w:val="28"/>
        </w:rPr>
        <w:lastRenderedPageBreak/>
        <w:t>Suggested working group meetings and discussion topics – economic benchmarking techniques</w:t>
      </w:r>
    </w:p>
    <w:tbl>
      <w:tblPr>
        <w:tblW w:w="13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28"/>
        <w:gridCol w:w="4115"/>
        <w:gridCol w:w="4116"/>
        <w:gridCol w:w="4116"/>
      </w:tblGrid>
      <w:tr w:rsidR="00D25846" w:rsidTr="0093688F">
        <w:trPr>
          <w:cantSplit/>
        </w:trPr>
        <w:tc>
          <w:tcPr>
            <w:tcW w:w="1228" w:type="dxa"/>
            <w:tcBorders>
              <w:top w:val="single" w:sz="4" w:space="0" w:color="auto"/>
              <w:left w:val="single" w:sz="4" w:space="0" w:color="auto"/>
              <w:bottom w:val="single" w:sz="4" w:space="0" w:color="auto"/>
              <w:right w:val="single" w:sz="4" w:space="0" w:color="auto"/>
            </w:tcBorders>
          </w:tcPr>
          <w:p w:rsidR="00D25846" w:rsidRDefault="00D25846" w:rsidP="0093688F">
            <w:pPr>
              <w:keepNext/>
              <w:keepLines/>
              <w:spacing w:after="200" w:line="276" w:lineRule="auto"/>
              <w:rPr>
                <w:sz w:val="20"/>
                <w:szCs w:val="20"/>
              </w:rPr>
            </w:pPr>
          </w:p>
        </w:tc>
        <w:tc>
          <w:tcPr>
            <w:tcW w:w="4115" w:type="dxa"/>
            <w:tcBorders>
              <w:top w:val="single" w:sz="4" w:space="0" w:color="auto"/>
              <w:left w:val="single" w:sz="4" w:space="0" w:color="auto"/>
              <w:bottom w:val="single" w:sz="4" w:space="0" w:color="auto"/>
              <w:right w:val="single" w:sz="4" w:space="0" w:color="auto"/>
            </w:tcBorders>
            <w:hideMark/>
          </w:tcPr>
          <w:p w:rsidR="00D25846" w:rsidRDefault="00D25846" w:rsidP="0093688F">
            <w:pPr>
              <w:keepNext/>
              <w:keepLines/>
              <w:spacing w:after="200" w:line="276" w:lineRule="auto"/>
              <w:rPr>
                <w:b/>
                <w:sz w:val="20"/>
                <w:szCs w:val="20"/>
              </w:rPr>
            </w:pPr>
            <w:r>
              <w:rPr>
                <w:b/>
                <w:sz w:val="20"/>
                <w:szCs w:val="20"/>
              </w:rPr>
              <w:t>Phase 1 - Identification of inputs, outputs, and environmental variables</w:t>
            </w:r>
          </w:p>
        </w:tc>
        <w:tc>
          <w:tcPr>
            <w:tcW w:w="4116" w:type="dxa"/>
            <w:tcBorders>
              <w:top w:val="single" w:sz="4" w:space="0" w:color="auto"/>
              <w:left w:val="single" w:sz="4" w:space="0" w:color="auto"/>
              <w:bottom w:val="single" w:sz="4" w:space="0" w:color="auto"/>
              <w:right w:val="single" w:sz="4" w:space="0" w:color="auto"/>
            </w:tcBorders>
            <w:hideMark/>
          </w:tcPr>
          <w:p w:rsidR="00D25846" w:rsidRDefault="00D25846" w:rsidP="0093688F">
            <w:pPr>
              <w:keepNext/>
              <w:keepLines/>
              <w:spacing w:after="200" w:line="276" w:lineRule="auto"/>
              <w:rPr>
                <w:b/>
                <w:sz w:val="20"/>
                <w:szCs w:val="20"/>
              </w:rPr>
            </w:pPr>
            <w:r>
              <w:rPr>
                <w:b/>
                <w:sz w:val="20"/>
                <w:szCs w:val="20"/>
              </w:rPr>
              <w:t>Phase 2 - data requirements</w:t>
            </w:r>
          </w:p>
        </w:tc>
        <w:tc>
          <w:tcPr>
            <w:tcW w:w="4116" w:type="dxa"/>
            <w:tcBorders>
              <w:top w:val="single" w:sz="4" w:space="0" w:color="auto"/>
              <w:left w:val="single" w:sz="4" w:space="0" w:color="auto"/>
              <w:bottom w:val="single" w:sz="4" w:space="0" w:color="auto"/>
              <w:right w:val="single" w:sz="4" w:space="0" w:color="auto"/>
            </w:tcBorders>
            <w:hideMark/>
          </w:tcPr>
          <w:p w:rsidR="00D25846" w:rsidRDefault="00D25846" w:rsidP="0093688F">
            <w:pPr>
              <w:keepNext/>
              <w:keepLines/>
              <w:spacing w:after="200" w:line="276" w:lineRule="auto"/>
              <w:rPr>
                <w:b/>
                <w:sz w:val="20"/>
                <w:szCs w:val="20"/>
              </w:rPr>
            </w:pPr>
            <w:r>
              <w:rPr>
                <w:b/>
                <w:sz w:val="20"/>
                <w:szCs w:val="20"/>
              </w:rPr>
              <w:t xml:space="preserve">Phase 3 - Implementation of economic benchmarking techniques </w:t>
            </w:r>
          </w:p>
        </w:tc>
      </w:tr>
      <w:tr w:rsidR="00D25846" w:rsidTr="0093688F">
        <w:trPr>
          <w:cantSplit/>
        </w:trPr>
        <w:tc>
          <w:tcPr>
            <w:tcW w:w="1228" w:type="dxa"/>
            <w:tcBorders>
              <w:top w:val="single" w:sz="4" w:space="0" w:color="auto"/>
              <w:left w:val="single" w:sz="4" w:space="0" w:color="auto"/>
              <w:bottom w:val="single" w:sz="4" w:space="0" w:color="auto"/>
              <w:right w:val="single" w:sz="4" w:space="0" w:color="auto"/>
            </w:tcBorders>
            <w:hideMark/>
          </w:tcPr>
          <w:p w:rsidR="00D25846" w:rsidRDefault="00D25846" w:rsidP="0093688F">
            <w:pPr>
              <w:keepNext/>
              <w:keepLines/>
              <w:spacing w:after="200" w:line="276" w:lineRule="auto"/>
              <w:rPr>
                <w:i/>
                <w:sz w:val="20"/>
                <w:szCs w:val="20"/>
              </w:rPr>
            </w:pPr>
            <w:r>
              <w:rPr>
                <w:i/>
                <w:sz w:val="20"/>
                <w:szCs w:val="20"/>
              </w:rPr>
              <w:t>General theme</w:t>
            </w:r>
          </w:p>
        </w:tc>
        <w:tc>
          <w:tcPr>
            <w:tcW w:w="4115" w:type="dxa"/>
            <w:tcBorders>
              <w:top w:val="single" w:sz="4" w:space="0" w:color="auto"/>
              <w:left w:val="single" w:sz="4" w:space="0" w:color="auto"/>
              <w:bottom w:val="single" w:sz="4" w:space="0" w:color="auto"/>
              <w:right w:val="single" w:sz="4" w:space="0" w:color="auto"/>
            </w:tcBorders>
            <w:hideMark/>
          </w:tcPr>
          <w:p w:rsidR="00D25846" w:rsidRDefault="00D25846" w:rsidP="0093688F">
            <w:pPr>
              <w:keepNext/>
              <w:keepLines/>
              <w:spacing w:after="200" w:line="276" w:lineRule="auto"/>
              <w:rPr>
                <w:i/>
                <w:sz w:val="20"/>
                <w:szCs w:val="20"/>
              </w:rPr>
            </w:pPr>
            <w:r>
              <w:rPr>
                <w:i/>
                <w:sz w:val="20"/>
                <w:szCs w:val="20"/>
              </w:rPr>
              <w:t xml:space="preserve">Developing an “in principle” position on inputs, outputs and environmental factors.  </w:t>
            </w:r>
          </w:p>
        </w:tc>
        <w:tc>
          <w:tcPr>
            <w:tcW w:w="4116" w:type="dxa"/>
            <w:tcBorders>
              <w:top w:val="single" w:sz="4" w:space="0" w:color="auto"/>
              <w:left w:val="single" w:sz="4" w:space="0" w:color="auto"/>
              <w:bottom w:val="single" w:sz="4" w:space="0" w:color="auto"/>
              <w:right w:val="single" w:sz="4" w:space="0" w:color="auto"/>
            </w:tcBorders>
            <w:hideMark/>
          </w:tcPr>
          <w:p w:rsidR="00D25846" w:rsidRDefault="00D25846" w:rsidP="0093688F">
            <w:pPr>
              <w:keepNext/>
              <w:keepLines/>
              <w:spacing w:after="200" w:line="276" w:lineRule="auto"/>
              <w:rPr>
                <w:i/>
                <w:sz w:val="20"/>
                <w:szCs w:val="20"/>
              </w:rPr>
            </w:pPr>
            <w:r>
              <w:rPr>
                <w:i/>
                <w:sz w:val="20"/>
                <w:szCs w:val="20"/>
              </w:rPr>
              <w:t>Consideration of data requirements and measurement issues</w:t>
            </w:r>
          </w:p>
        </w:tc>
        <w:tc>
          <w:tcPr>
            <w:tcW w:w="4116" w:type="dxa"/>
            <w:tcBorders>
              <w:top w:val="single" w:sz="4" w:space="0" w:color="auto"/>
              <w:left w:val="single" w:sz="4" w:space="0" w:color="auto"/>
              <w:bottom w:val="single" w:sz="4" w:space="0" w:color="auto"/>
              <w:right w:val="single" w:sz="4" w:space="0" w:color="auto"/>
            </w:tcBorders>
            <w:hideMark/>
          </w:tcPr>
          <w:p w:rsidR="00D25846" w:rsidRDefault="00D25846" w:rsidP="0093688F">
            <w:pPr>
              <w:keepNext/>
              <w:keepLines/>
              <w:spacing w:after="200" w:line="276" w:lineRule="auto"/>
              <w:rPr>
                <w:i/>
                <w:sz w:val="20"/>
                <w:szCs w:val="20"/>
              </w:rPr>
            </w:pPr>
            <w:r>
              <w:rPr>
                <w:i/>
                <w:sz w:val="20"/>
                <w:szCs w:val="20"/>
              </w:rPr>
              <w:t>EFA guideline content and specifications</w:t>
            </w:r>
          </w:p>
        </w:tc>
      </w:tr>
      <w:tr w:rsidR="00D25846" w:rsidTr="0093688F">
        <w:trPr>
          <w:cantSplit/>
        </w:trPr>
        <w:tc>
          <w:tcPr>
            <w:tcW w:w="1228" w:type="dxa"/>
            <w:tcBorders>
              <w:top w:val="single" w:sz="4" w:space="0" w:color="auto"/>
              <w:left w:val="single" w:sz="4" w:space="0" w:color="auto"/>
              <w:bottom w:val="single" w:sz="4" w:space="0" w:color="auto"/>
              <w:right w:val="single" w:sz="4" w:space="0" w:color="auto"/>
            </w:tcBorders>
            <w:hideMark/>
          </w:tcPr>
          <w:p w:rsidR="00D25846" w:rsidRDefault="00D25846" w:rsidP="0093688F">
            <w:pPr>
              <w:keepNext/>
              <w:keepLines/>
              <w:spacing w:after="200" w:line="276" w:lineRule="auto"/>
              <w:rPr>
                <w:i/>
                <w:sz w:val="20"/>
                <w:szCs w:val="20"/>
              </w:rPr>
            </w:pPr>
            <w:r>
              <w:rPr>
                <w:sz w:val="20"/>
                <w:szCs w:val="20"/>
              </w:rPr>
              <w:t>First meeting of phase</w:t>
            </w:r>
          </w:p>
        </w:tc>
        <w:tc>
          <w:tcPr>
            <w:tcW w:w="4115" w:type="dxa"/>
            <w:tcBorders>
              <w:top w:val="single" w:sz="4" w:space="0" w:color="auto"/>
              <w:left w:val="single" w:sz="4" w:space="0" w:color="auto"/>
              <w:bottom w:val="single" w:sz="4" w:space="0" w:color="auto"/>
              <w:right w:val="single" w:sz="4" w:space="0" w:color="auto"/>
            </w:tcBorders>
            <w:hideMark/>
          </w:tcPr>
          <w:p w:rsidR="00D25846" w:rsidRDefault="00D25846" w:rsidP="0093688F">
            <w:pPr>
              <w:pStyle w:val="ListParagraph"/>
              <w:keepNext/>
              <w:keepLines/>
              <w:spacing w:after="120"/>
              <w:ind w:left="0"/>
              <w:rPr>
                <w:sz w:val="20"/>
                <w:szCs w:val="20"/>
              </w:rPr>
            </w:pPr>
            <w:r>
              <w:rPr>
                <w:sz w:val="20"/>
                <w:szCs w:val="20"/>
              </w:rPr>
              <w:t>Workshop 1.1</w:t>
            </w:r>
          </w:p>
          <w:p w:rsidR="00D25846" w:rsidRDefault="00D25846" w:rsidP="0093688F">
            <w:pPr>
              <w:pStyle w:val="ListParagraph"/>
              <w:keepNext/>
              <w:keepLines/>
              <w:spacing w:after="120"/>
              <w:ind w:left="0"/>
              <w:rPr>
                <w:sz w:val="20"/>
                <w:szCs w:val="20"/>
              </w:rPr>
            </w:pPr>
            <w:r>
              <w:rPr>
                <w:sz w:val="20"/>
                <w:szCs w:val="20"/>
              </w:rPr>
              <w:t xml:space="preserve">Network outputs </w:t>
            </w:r>
            <w:r>
              <w:rPr>
                <w:sz w:val="20"/>
                <w:szCs w:val="20"/>
              </w:rPr>
              <w:softHyphen/>
            </w:r>
            <w:r>
              <w:rPr>
                <w:sz w:val="20"/>
                <w:szCs w:val="20"/>
              </w:rPr>
              <w:softHyphen/>
              <w:t>- distribution</w:t>
            </w:r>
          </w:p>
          <w:p w:rsidR="00D25846" w:rsidRDefault="00D25846" w:rsidP="0093688F">
            <w:pPr>
              <w:pStyle w:val="ListParagraph"/>
              <w:keepNext/>
              <w:keepLines/>
              <w:numPr>
                <w:ilvl w:val="0"/>
                <w:numId w:val="14"/>
              </w:numPr>
              <w:spacing w:after="120"/>
              <w:ind w:left="417"/>
              <w:rPr>
                <w:sz w:val="20"/>
                <w:szCs w:val="20"/>
              </w:rPr>
            </w:pPr>
            <w:r>
              <w:rPr>
                <w:sz w:val="20"/>
                <w:szCs w:val="20"/>
              </w:rPr>
              <w:t>Output and environmental factor criteria</w:t>
            </w:r>
          </w:p>
          <w:p w:rsidR="00D25846" w:rsidRPr="00F7421A" w:rsidRDefault="00D25846" w:rsidP="0093688F">
            <w:pPr>
              <w:pStyle w:val="ListParagraph"/>
              <w:keepNext/>
              <w:keepLines/>
              <w:numPr>
                <w:ilvl w:val="0"/>
                <w:numId w:val="14"/>
              </w:numPr>
              <w:spacing w:after="120"/>
              <w:ind w:left="417"/>
              <w:rPr>
                <w:i/>
                <w:sz w:val="20"/>
                <w:szCs w:val="20"/>
              </w:rPr>
            </w:pPr>
            <w:r>
              <w:rPr>
                <w:sz w:val="20"/>
                <w:szCs w:val="20"/>
              </w:rPr>
              <w:t xml:space="preserve">Output specifications and weightings </w:t>
            </w:r>
            <w:r>
              <w:rPr>
                <w:rFonts w:ascii="Arial" w:hAnsi="Arial" w:cs="Arial"/>
                <w:sz w:val="20"/>
                <w:szCs w:val="20"/>
              </w:rPr>
              <w:t xml:space="preserve">- </w:t>
            </w:r>
            <w:r w:rsidRPr="00697E33">
              <w:rPr>
                <w:sz w:val="20"/>
                <w:szCs w:val="20"/>
              </w:rPr>
              <w:t>DNSPs</w:t>
            </w:r>
          </w:p>
          <w:p w:rsidR="00D25846" w:rsidRDefault="00D25846" w:rsidP="0093688F">
            <w:pPr>
              <w:pStyle w:val="ListParagraph"/>
              <w:keepNext/>
              <w:keepLines/>
              <w:numPr>
                <w:ilvl w:val="0"/>
                <w:numId w:val="14"/>
              </w:numPr>
              <w:spacing w:after="120"/>
              <w:ind w:left="417"/>
              <w:rPr>
                <w:i/>
                <w:sz w:val="20"/>
                <w:szCs w:val="20"/>
              </w:rPr>
            </w:pPr>
            <w:r>
              <w:rPr>
                <w:sz w:val="20"/>
                <w:szCs w:val="20"/>
              </w:rPr>
              <w:t>Environmental factors</w:t>
            </w:r>
          </w:p>
        </w:tc>
        <w:tc>
          <w:tcPr>
            <w:tcW w:w="4116" w:type="dxa"/>
            <w:tcBorders>
              <w:top w:val="single" w:sz="4" w:space="0" w:color="auto"/>
              <w:left w:val="single" w:sz="4" w:space="0" w:color="auto"/>
              <w:bottom w:val="single" w:sz="4" w:space="0" w:color="auto"/>
              <w:right w:val="single" w:sz="4" w:space="0" w:color="auto"/>
            </w:tcBorders>
            <w:hideMark/>
          </w:tcPr>
          <w:p w:rsidR="00D25846" w:rsidRDefault="00D25846" w:rsidP="0093688F">
            <w:pPr>
              <w:pStyle w:val="ListParagraph"/>
              <w:keepNext/>
              <w:keepLines/>
              <w:spacing w:after="120"/>
              <w:ind w:left="0"/>
              <w:rPr>
                <w:sz w:val="20"/>
                <w:szCs w:val="20"/>
              </w:rPr>
            </w:pPr>
            <w:r>
              <w:rPr>
                <w:sz w:val="20"/>
                <w:szCs w:val="20"/>
              </w:rPr>
              <w:t>Workshop 2.1</w:t>
            </w:r>
          </w:p>
          <w:p w:rsidR="00D25846" w:rsidRDefault="00D25846" w:rsidP="0093688F">
            <w:pPr>
              <w:pStyle w:val="ListParagraph"/>
              <w:keepNext/>
              <w:keepLines/>
              <w:spacing w:after="120"/>
              <w:ind w:left="0"/>
              <w:rPr>
                <w:sz w:val="20"/>
                <w:szCs w:val="20"/>
              </w:rPr>
            </w:pPr>
            <w:r>
              <w:rPr>
                <w:sz w:val="20"/>
                <w:szCs w:val="20"/>
              </w:rPr>
              <w:t>Measurement of outputs and environmental factors – distribution</w:t>
            </w:r>
          </w:p>
          <w:p w:rsidR="00D25846" w:rsidRDefault="00D25846" w:rsidP="0093688F">
            <w:pPr>
              <w:pStyle w:val="ListParagraph"/>
              <w:keepNext/>
              <w:keepLines/>
              <w:numPr>
                <w:ilvl w:val="0"/>
                <w:numId w:val="16"/>
              </w:numPr>
              <w:spacing w:after="120"/>
              <w:rPr>
                <w:i/>
                <w:sz w:val="20"/>
                <w:szCs w:val="20"/>
              </w:rPr>
            </w:pPr>
            <w:r>
              <w:rPr>
                <w:sz w:val="20"/>
                <w:szCs w:val="20"/>
              </w:rPr>
              <w:t>Weighting of outputs and environmental factors</w:t>
            </w:r>
          </w:p>
        </w:tc>
        <w:tc>
          <w:tcPr>
            <w:tcW w:w="4116" w:type="dxa"/>
            <w:tcBorders>
              <w:top w:val="single" w:sz="4" w:space="0" w:color="auto"/>
              <w:left w:val="single" w:sz="4" w:space="0" w:color="auto"/>
              <w:bottom w:val="single" w:sz="4" w:space="0" w:color="auto"/>
              <w:right w:val="single" w:sz="4" w:space="0" w:color="auto"/>
            </w:tcBorders>
            <w:hideMark/>
          </w:tcPr>
          <w:p w:rsidR="00D25846" w:rsidRDefault="00D25846" w:rsidP="0093688F">
            <w:pPr>
              <w:pStyle w:val="ListParagraph"/>
              <w:keepNext/>
              <w:keepLines/>
              <w:spacing w:after="120"/>
              <w:ind w:left="0"/>
              <w:rPr>
                <w:sz w:val="20"/>
                <w:szCs w:val="20"/>
              </w:rPr>
            </w:pPr>
            <w:r>
              <w:rPr>
                <w:sz w:val="20"/>
                <w:szCs w:val="20"/>
              </w:rPr>
              <w:t>Workshop 3.1</w:t>
            </w:r>
          </w:p>
          <w:p w:rsidR="00D25846" w:rsidRDefault="00D25846" w:rsidP="0093688F">
            <w:pPr>
              <w:pStyle w:val="ListParagraph"/>
              <w:keepNext/>
              <w:keepLines/>
              <w:spacing w:after="120"/>
              <w:ind w:left="0"/>
              <w:rPr>
                <w:sz w:val="20"/>
                <w:szCs w:val="20"/>
              </w:rPr>
            </w:pPr>
            <w:r>
              <w:rPr>
                <w:sz w:val="20"/>
                <w:szCs w:val="20"/>
              </w:rPr>
              <w:t>Prescription in EFA guideline</w:t>
            </w:r>
          </w:p>
          <w:p w:rsidR="00D25846" w:rsidRDefault="00D25846" w:rsidP="0093688F">
            <w:pPr>
              <w:pStyle w:val="ListParagraph"/>
              <w:keepNext/>
              <w:keepLines/>
              <w:numPr>
                <w:ilvl w:val="0"/>
                <w:numId w:val="14"/>
              </w:numPr>
              <w:spacing w:after="120"/>
              <w:ind w:left="417"/>
              <w:rPr>
                <w:sz w:val="20"/>
                <w:szCs w:val="20"/>
              </w:rPr>
            </w:pPr>
            <w:r>
              <w:rPr>
                <w:sz w:val="20"/>
                <w:szCs w:val="20"/>
              </w:rPr>
              <w:t>The principles for the selection of economic benchmarking techniques</w:t>
            </w:r>
          </w:p>
          <w:p w:rsidR="00D25846" w:rsidRDefault="00D25846" w:rsidP="0093688F">
            <w:pPr>
              <w:pStyle w:val="ListParagraph"/>
              <w:keepNext/>
              <w:keepLines/>
              <w:numPr>
                <w:ilvl w:val="0"/>
                <w:numId w:val="14"/>
              </w:numPr>
              <w:spacing w:after="120"/>
              <w:ind w:left="417"/>
              <w:rPr>
                <w:i/>
                <w:sz w:val="20"/>
                <w:szCs w:val="20"/>
              </w:rPr>
            </w:pPr>
            <w:r>
              <w:rPr>
                <w:sz w:val="20"/>
                <w:szCs w:val="20"/>
              </w:rPr>
              <w:t>Application of economic benchmarking and the review of expenditure forecasts</w:t>
            </w:r>
          </w:p>
        </w:tc>
      </w:tr>
      <w:tr w:rsidR="00D25846" w:rsidTr="0093688F">
        <w:trPr>
          <w:cantSplit/>
        </w:trPr>
        <w:tc>
          <w:tcPr>
            <w:tcW w:w="1228" w:type="dxa"/>
            <w:tcBorders>
              <w:top w:val="single" w:sz="4" w:space="0" w:color="auto"/>
              <w:left w:val="single" w:sz="4" w:space="0" w:color="auto"/>
              <w:bottom w:val="single" w:sz="4" w:space="0" w:color="auto"/>
              <w:right w:val="single" w:sz="4" w:space="0" w:color="auto"/>
            </w:tcBorders>
            <w:hideMark/>
          </w:tcPr>
          <w:p w:rsidR="00D25846" w:rsidRDefault="00D25846" w:rsidP="0093688F">
            <w:pPr>
              <w:keepNext/>
              <w:keepLines/>
              <w:spacing w:after="120"/>
              <w:rPr>
                <w:sz w:val="20"/>
                <w:szCs w:val="20"/>
              </w:rPr>
            </w:pPr>
            <w:r>
              <w:rPr>
                <w:sz w:val="20"/>
                <w:szCs w:val="20"/>
              </w:rPr>
              <w:t>Second meeting of phase</w:t>
            </w:r>
          </w:p>
        </w:tc>
        <w:tc>
          <w:tcPr>
            <w:tcW w:w="4115" w:type="dxa"/>
            <w:tcBorders>
              <w:top w:val="single" w:sz="4" w:space="0" w:color="auto"/>
              <w:left w:val="single" w:sz="4" w:space="0" w:color="auto"/>
              <w:bottom w:val="single" w:sz="4" w:space="0" w:color="auto"/>
              <w:right w:val="single" w:sz="4" w:space="0" w:color="auto"/>
            </w:tcBorders>
            <w:hideMark/>
          </w:tcPr>
          <w:p w:rsidR="00D25846" w:rsidRDefault="00D25846" w:rsidP="0093688F">
            <w:pPr>
              <w:pStyle w:val="ListParagraph"/>
              <w:keepNext/>
              <w:keepLines/>
              <w:spacing w:after="120"/>
              <w:ind w:left="0"/>
              <w:rPr>
                <w:sz w:val="20"/>
                <w:szCs w:val="20"/>
              </w:rPr>
            </w:pPr>
            <w:r>
              <w:rPr>
                <w:sz w:val="20"/>
                <w:szCs w:val="20"/>
              </w:rPr>
              <w:t>Workshop 1.2</w:t>
            </w:r>
          </w:p>
          <w:p w:rsidR="00D25846" w:rsidRDefault="00D25846" w:rsidP="0093688F">
            <w:pPr>
              <w:pStyle w:val="ListParagraph"/>
              <w:keepNext/>
              <w:keepLines/>
              <w:spacing w:after="120"/>
              <w:ind w:left="0"/>
              <w:rPr>
                <w:sz w:val="20"/>
                <w:szCs w:val="20"/>
              </w:rPr>
            </w:pPr>
            <w:r>
              <w:rPr>
                <w:sz w:val="20"/>
                <w:szCs w:val="20"/>
              </w:rPr>
              <w:t xml:space="preserve">Network outputs </w:t>
            </w:r>
            <w:r>
              <w:rPr>
                <w:sz w:val="20"/>
                <w:szCs w:val="20"/>
              </w:rPr>
              <w:softHyphen/>
            </w:r>
            <w:r>
              <w:rPr>
                <w:sz w:val="20"/>
                <w:szCs w:val="20"/>
              </w:rPr>
              <w:softHyphen/>
              <w:t>- transmission</w:t>
            </w:r>
          </w:p>
          <w:p w:rsidR="00D25846" w:rsidRDefault="00D25846" w:rsidP="0093688F">
            <w:pPr>
              <w:pStyle w:val="ListParagraph"/>
              <w:keepNext/>
              <w:keepLines/>
              <w:numPr>
                <w:ilvl w:val="0"/>
                <w:numId w:val="14"/>
              </w:numPr>
              <w:spacing w:after="120"/>
              <w:ind w:left="417"/>
              <w:rPr>
                <w:sz w:val="20"/>
                <w:szCs w:val="20"/>
              </w:rPr>
            </w:pPr>
            <w:r>
              <w:rPr>
                <w:sz w:val="20"/>
                <w:szCs w:val="20"/>
              </w:rPr>
              <w:t>Output and environmental factor criteria</w:t>
            </w:r>
          </w:p>
          <w:p w:rsidR="00D25846" w:rsidRDefault="00D25846" w:rsidP="0093688F">
            <w:pPr>
              <w:pStyle w:val="ListParagraph"/>
              <w:keepNext/>
              <w:keepLines/>
              <w:numPr>
                <w:ilvl w:val="0"/>
                <w:numId w:val="14"/>
              </w:numPr>
              <w:spacing w:after="120"/>
              <w:ind w:left="417"/>
              <w:rPr>
                <w:sz w:val="20"/>
                <w:szCs w:val="20"/>
              </w:rPr>
            </w:pPr>
            <w:r>
              <w:rPr>
                <w:sz w:val="20"/>
                <w:szCs w:val="20"/>
              </w:rPr>
              <w:t xml:space="preserve">Output specifications </w:t>
            </w:r>
          </w:p>
          <w:p w:rsidR="00D25846" w:rsidRDefault="00D25846" w:rsidP="0093688F">
            <w:pPr>
              <w:pStyle w:val="ListParagraph"/>
              <w:keepNext/>
              <w:keepLines/>
              <w:numPr>
                <w:ilvl w:val="0"/>
                <w:numId w:val="14"/>
              </w:numPr>
              <w:spacing w:after="120"/>
              <w:ind w:left="417"/>
              <w:rPr>
                <w:sz w:val="20"/>
                <w:szCs w:val="20"/>
              </w:rPr>
            </w:pPr>
            <w:r>
              <w:rPr>
                <w:sz w:val="20"/>
                <w:szCs w:val="20"/>
              </w:rPr>
              <w:t>Environmental factors</w:t>
            </w:r>
          </w:p>
        </w:tc>
        <w:tc>
          <w:tcPr>
            <w:tcW w:w="4116" w:type="dxa"/>
            <w:tcBorders>
              <w:top w:val="single" w:sz="4" w:space="0" w:color="auto"/>
              <w:left w:val="single" w:sz="4" w:space="0" w:color="auto"/>
              <w:bottom w:val="single" w:sz="4" w:space="0" w:color="auto"/>
              <w:right w:val="single" w:sz="4" w:space="0" w:color="auto"/>
            </w:tcBorders>
            <w:hideMark/>
          </w:tcPr>
          <w:p w:rsidR="00D25846" w:rsidRDefault="00D25846" w:rsidP="0093688F">
            <w:pPr>
              <w:pStyle w:val="ListParagraph"/>
              <w:keepNext/>
              <w:keepLines/>
              <w:spacing w:after="120"/>
              <w:ind w:left="0"/>
              <w:rPr>
                <w:sz w:val="20"/>
                <w:szCs w:val="20"/>
              </w:rPr>
            </w:pPr>
            <w:r>
              <w:rPr>
                <w:sz w:val="20"/>
                <w:szCs w:val="20"/>
              </w:rPr>
              <w:t>Workshop 2.2</w:t>
            </w:r>
          </w:p>
          <w:p w:rsidR="00D25846" w:rsidRDefault="00D25846" w:rsidP="0093688F">
            <w:pPr>
              <w:pStyle w:val="ListParagraph"/>
              <w:keepNext/>
              <w:keepLines/>
              <w:spacing w:after="120"/>
              <w:ind w:left="0"/>
              <w:rPr>
                <w:sz w:val="20"/>
                <w:szCs w:val="20"/>
              </w:rPr>
            </w:pPr>
            <w:r>
              <w:rPr>
                <w:sz w:val="20"/>
                <w:szCs w:val="20"/>
              </w:rPr>
              <w:t>Measurement of outputs and environmental factors - transmission</w:t>
            </w:r>
          </w:p>
          <w:p w:rsidR="00D25846" w:rsidRDefault="00D25846" w:rsidP="0093688F">
            <w:pPr>
              <w:pStyle w:val="ListParagraph"/>
              <w:keepNext/>
              <w:keepLines/>
              <w:numPr>
                <w:ilvl w:val="0"/>
                <w:numId w:val="15"/>
              </w:numPr>
              <w:spacing w:after="120"/>
              <w:rPr>
                <w:sz w:val="20"/>
                <w:szCs w:val="20"/>
              </w:rPr>
            </w:pPr>
            <w:r>
              <w:rPr>
                <w:sz w:val="20"/>
                <w:szCs w:val="20"/>
              </w:rPr>
              <w:t>Weighting of outputs and environmental factors</w:t>
            </w:r>
          </w:p>
        </w:tc>
        <w:tc>
          <w:tcPr>
            <w:tcW w:w="4116" w:type="dxa"/>
            <w:tcBorders>
              <w:top w:val="single" w:sz="4" w:space="0" w:color="auto"/>
              <w:left w:val="single" w:sz="4" w:space="0" w:color="auto"/>
              <w:bottom w:val="single" w:sz="4" w:space="0" w:color="auto"/>
              <w:right w:val="single" w:sz="4" w:space="0" w:color="auto"/>
            </w:tcBorders>
            <w:hideMark/>
          </w:tcPr>
          <w:p w:rsidR="00D25846" w:rsidRDefault="00D25846" w:rsidP="0093688F">
            <w:pPr>
              <w:pStyle w:val="ListParagraph"/>
              <w:keepNext/>
              <w:keepLines/>
              <w:spacing w:after="120"/>
              <w:ind w:left="0"/>
              <w:rPr>
                <w:sz w:val="20"/>
                <w:szCs w:val="20"/>
              </w:rPr>
            </w:pPr>
          </w:p>
        </w:tc>
      </w:tr>
      <w:tr w:rsidR="00D25846" w:rsidTr="0093688F">
        <w:trPr>
          <w:cantSplit/>
        </w:trPr>
        <w:tc>
          <w:tcPr>
            <w:tcW w:w="1228" w:type="dxa"/>
            <w:tcBorders>
              <w:top w:val="single" w:sz="4" w:space="0" w:color="auto"/>
              <w:left w:val="single" w:sz="4" w:space="0" w:color="auto"/>
              <w:bottom w:val="single" w:sz="4" w:space="0" w:color="auto"/>
              <w:right w:val="single" w:sz="4" w:space="0" w:color="auto"/>
            </w:tcBorders>
            <w:hideMark/>
          </w:tcPr>
          <w:p w:rsidR="00D25846" w:rsidRDefault="00D25846" w:rsidP="0093688F">
            <w:pPr>
              <w:keepNext/>
              <w:keepLines/>
              <w:spacing w:after="120"/>
              <w:rPr>
                <w:sz w:val="20"/>
                <w:szCs w:val="20"/>
              </w:rPr>
            </w:pPr>
            <w:r>
              <w:rPr>
                <w:sz w:val="20"/>
                <w:szCs w:val="20"/>
              </w:rPr>
              <w:t>Third meeting of phase</w:t>
            </w:r>
          </w:p>
        </w:tc>
        <w:tc>
          <w:tcPr>
            <w:tcW w:w="4115" w:type="dxa"/>
            <w:tcBorders>
              <w:top w:val="single" w:sz="4" w:space="0" w:color="auto"/>
              <w:left w:val="single" w:sz="4" w:space="0" w:color="auto"/>
              <w:bottom w:val="single" w:sz="4" w:space="0" w:color="auto"/>
              <w:right w:val="single" w:sz="4" w:space="0" w:color="auto"/>
            </w:tcBorders>
            <w:hideMark/>
          </w:tcPr>
          <w:p w:rsidR="00D25846" w:rsidRDefault="00D25846" w:rsidP="0093688F">
            <w:pPr>
              <w:pStyle w:val="ListParagraph"/>
              <w:keepNext/>
              <w:keepLines/>
              <w:spacing w:after="120"/>
              <w:ind w:left="0"/>
              <w:rPr>
                <w:sz w:val="20"/>
                <w:szCs w:val="20"/>
              </w:rPr>
            </w:pPr>
            <w:r>
              <w:rPr>
                <w:sz w:val="20"/>
                <w:szCs w:val="20"/>
              </w:rPr>
              <w:t>Workshop 1.3</w:t>
            </w:r>
          </w:p>
          <w:p w:rsidR="00D25846" w:rsidRDefault="00D25846" w:rsidP="0093688F">
            <w:pPr>
              <w:pStyle w:val="ListParagraph"/>
              <w:keepNext/>
              <w:keepLines/>
              <w:spacing w:after="120"/>
              <w:ind w:left="0"/>
              <w:rPr>
                <w:sz w:val="20"/>
                <w:szCs w:val="20"/>
              </w:rPr>
            </w:pPr>
            <w:r>
              <w:rPr>
                <w:sz w:val="20"/>
                <w:szCs w:val="20"/>
              </w:rPr>
              <w:t>Network inputs (transmission and distribution)</w:t>
            </w:r>
          </w:p>
          <w:p w:rsidR="00D25846" w:rsidRDefault="00D25846" w:rsidP="0093688F">
            <w:pPr>
              <w:pStyle w:val="ListParagraph"/>
              <w:keepNext/>
              <w:keepLines/>
              <w:numPr>
                <w:ilvl w:val="0"/>
                <w:numId w:val="14"/>
              </w:numPr>
              <w:spacing w:after="120"/>
              <w:ind w:left="417"/>
              <w:rPr>
                <w:sz w:val="20"/>
                <w:szCs w:val="20"/>
              </w:rPr>
            </w:pPr>
            <w:r>
              <w:rPr>
                <w:sz w:val="20"/>
                <w:szCs w:val="20"/>
              </w:rPr>
              <w:t>Criteria for selecting inputs</w:t>
            </w:r>
          </w:p>
          <w:p w:rsidR="00D25846" w:rsidRDefault="00D25846" w:rsidP="0093688F">
            <w:pPr>
              <w:pStyle w:val="ListParagraph"/>
              <w:keepNext/>
              <w:keepLines/>
              <w:numPr>
                <w:ilvl w:val="0"/>
                <w:numId w:val="14"/>
              </w:numPr>
              <w:spacing w:after="120"/>
              <w:ind w:left="417"/>
              <w:rPr>
                <w:sz w:val="20"/>
                <w:szCs w:val="20"/>
              </w:rPr>
            </w:pPr>
            <w:r>
              <w:rPr>
                <w:sz w:val="20"/>
                <w:szCs w:val="20"/>
              </w:rPr>
              <w:t>The split of inputs into “assets” and “operation and maintenance”</w:t>
            </w:r>
          </w:p>
          <w:p w:rsidR="00D25846" w:rsidRPr="009E75DD" w:rsidRDefault="00D25846" w:rsidP="0093688F">
            <w:pPr>
              <w:pStyle w:val="ListParagraph"/>
              <w:keepNext/>
              <w:keepLines/>
              <w:numPr>
                <w:ilvl w:val="0"/>
                <w:numId w:val="14"/>
              </w:numPr>
              <w:spacing w:after="120"/>
              <w:ind w:left="417"/>
              <w:rPr>
                <w:sz w:val="20"/>
                <w:szCs w:val="20"/>
              </w:rPr>
            </w:pPr>
            <w:r>
              <w:rPr>
                <w:sz w:val="20"/>
                <w:szCs w:val="20"/>
              </w:rPr>
              <w:t xml:space="preserve">Physical </w:t>
            </w:r>
            <w:proofErr w:type="spellStart"/>
            <w:r>
              <w:rPr>
                <w:sz w:val="20"/>
                <w:szCs w:val="20"/>
              </w:rPr>
              <w:t>vs</w:t>
            </w:r>
            <w:proofErr w:type="spellEnd"/>
            <w:r>
              <w:rPr>
                <w:sz w:val="20"/>
                <w:szCs w:val="20"/>
              </w:rPr>
              <w:t xml:space="preserve"> value measures for inputs</w:t>
            </w:r>
          </w:p>
        </w:tc>
        <w:tc>
          <w:tcPr>
            <w:tcW w:w="4116" w:type="dxa"/>
            <w:tcBorders>
              <w:top w:val="single" w:sz="4" w:space="0" w:color="auto"/>
              <w:left w:val="single" w:sz="4" w:space="0" w:color="auto"/>
              <w:bottom w:val="single" w:sz="4" w:space="0" w:color="auto"/>
              <w:right w:val="single" w:sz="4" w:space="0" w:color="auto"/>
            </w:tcBorders>
          </w:tcPr>
          <w:p w:rsidR="00D25846" w:rsidRDefault="00D25846" w:rsidP="0093688F">
            <w:pPr>
              <w:pStyle w:val="ListParagraph"/>
              <w:keepNext/>
              <w:keepLines/>
              <w:spacing w:after="120"/>
              <w:ind w:left="0"/>
              <w:rPr>
                <w:sz w:val="20"/>
                <w:szCs w:val="20"/>
              </w:rPr>
            </w:pPr>
            <w:r>
              <w:rPr>
                <w:sz w:val="20"/>
                <w:szCs w:val="20"/>
              </w:rPr>
              <w:t>Workshop 2.3</w:t>
            </w:r>
          </w:p>
          <w:p w:rsidR="00D25846" w:rsidRDefault="00D25846" w:rsidP="0093688F">
            <w:pPr>
              <w:pStyle w:val="ListParagraph"/>
              <w:keepNext/>
              <w:keepLines/>
              <w:spacing w:after="120"/>
              <w:ind w:left="0"/>
              <w:rPr>
                <w:sz w:val="20"/>
                <w:szCs w:val="20"/>
              </w:rPr>
            </w:pPr>
            <w:r>
              <w:rPr>
                <w:sz w:val="20"/>
                <w:szCs w:val="20"/>
              </w:rPr>
              <w:t xml:space="preserve">Network Input measurement (distribution and transmission) </w:t>
            </w:r>
          </w:p>
          <w:p w:rsidR="00D25846" w:rsidRDefault="00D25846" w:rsidP="0093688F">
            <w:pPr>
              <w:pStyle w:val="ListParagraph"/>
              <w:keepNext/>
              <w:keepLines/>
              <w:numPr>
                <w:ilvl w:val="0"/>
                <w:numId w:val="14"/>
              </w:numPr>
              <w:spacing w:after="120"/>
              <w:ind w:left="417"/>
              <w:rPr>
                <w:sz w:val="20"/>
                <w:szCs w:val="20"/>
              </w:rPr>
            </w:pPr>
            <w:r>
              <w:rPr>
                <w:sz w:val="20"/>
                <w:szCs w:val="20"/>
              </w:rPr>
              <w:t>Deriving the value of capital stock</w:t>
            </w:r>
          </w:p>
          <w:p w:rsidR="00D25846" w:rsidRDefault="00D25846" w:rsidP="0093688F">
            <w:pPr>
              <w:pStyle w:val="ListParagraph"/>
              <w:keepNext/>
              <w:keepLines/>
              <w:numPr>
                <w:ilvl w:val="0"/>
                <w:numId w:val="14"/>
              </w:numPr>
              <w:spacing w:after="120"/>
              <w:ind w:left="417"/>
              <w:rPr>
                <w:sz w:val="20"/>
                <w:szCs w:val="20"/>
              </w:rPr>
            </w:pPr>
            <w:r>
              <w:rPr>
                <w:sz w:val="20"/>
                <w:szCs w:val="20"/>
              </w:rPr>
              <w:t>Weighting of inputs</w:t>
            </w:r>
          </w:p>
          <w:p w:rsidR="00D25846" w:rsidRDefault="00D25846" w:rsidP="0093688F">
            <w:pPr>
              <w:pStyle w:val="ListParagraph"/>
              <w:keepNext/>
              <w:keepLines/>
              <w:numPr>
                <w:ilvl w:val="0"/>
                <w:numId w:val="14"/>
              </w:numPr>
              <w:spacing w:after="120"/>
              <w:ind w:left="417"/>
              <w:rPr>
                <w:sz w:val="20"/>
                <w:szCs w:val="20"/>
              </w:rPr>
            </w:pPr>
            <w:r>
              <w:rPr>
                <w:sz w:val="20"/>
                <w:szCs w:val="20"/>
              </w:rPr>
              <w:t xml:space="preserve">Any  overlap between inputs and environmental factors </w:t>
            </w:r>
          </w:p>
        </w:tc>
        <w:tc>
          <w:tcPr>
            <w:tcW w:w="4116" w:type="dxa"/>
            <w:tcBorders>
              <w:top w:val="single" w:sz="4" w:space="0" w:color="auto"/>
              <w:left w:val="single" w:sz="4" w:space="0" w:color="auto"/>
              <w:bottom w:val="single" w:sz="4" w:space="0" w:color="auto"/>
              <w:right w:val="single" w:sz="4" w:space="0" w:color="auto"/>
            </w:tcBorders>
          </w:tcPr>
          <w:p w:rsidR="00D25846" w:rsidRDefault="00D25846" w:rsidP="0093688F">
            <w:pPr>
              <w:pStyle w:val="ListParagraph"/>
              <w:keepNext/>
              <w:keepLines/>
              <w:spacing w:after="120"/>
              <w:ind w:left="0"/>
              <w:rPr>
                <w:sz w:val="20"/>
                <w:szCs w:val="20"/>
              </w:rPr>
            </w:pPr>
          </w:p>
          <w:p w:rsidR="00D25846" w:rsidRDefault="00D25846" w:rsidP="0093688F">
            <w:pPr>
              <w:pStyle w:val="ListParagraph"/>
              <w:keepNext/>
              <w:keepLines/>
              <w:spacing w:after="120"/>
              <w:ind w:left="57"/>
              <w:rPr>
                <w:sz w:val="20"/>
                <w:szCs w:val="20"/>
              </w:rPr>
            </w:pPr>
          </w:p>
        </w:tc>
      </w:tr>
    </w:tbl>
    <w:p w:rsidR="00D25846" w:rsidRDefault="00D25846" w:rsidP="00D25846">
      <w:pPr>
        <w:keepNext/>
        <w:spacing w:after="200" w:line="276" w:lineRule="auto"/>
        <w:outlineLvl w:val="0"/>
        <w:rPr>
          <w:b/>
        </w:rPr>
      </w:pPr>
    </w:p>
    <w:p w:rsidR="00D25846" w:rsidRDefault="00D25846" w:rsidP="00D25846">
      <w:pPr>
        <w:keepNext/>
        <w:spacing w:after="200" w:line="276" w:lineRule="auto"/>
        <w:outlineLvl w:val="0"/>
        <w:rPr>
          <w:b/>
        </w:rPr>
        <w:sectPr w:rsidR="00D25846" w:rsidSect="00B90EA7">
          <w:pgSz w:w="16838" w:h="11906" w:orient="landscape"/>
          <w:pgMar w:top="1440" w:right="1440" w:bottom="1440" w:left="1440" w:header="708" w:footer="708" w:gutter="0"/>
          <w:cols w:space="708"/>
          <w:docGrid w:linePitch="360"/>
        </w:sectPr>
      </w:pPr>
    </w:p>
    <w:p w:rsidR="00D25846" w:rsidRDefault="00D25846" w:rsidP="00D25846">
      <w:pPr>
        <w:keepNext/>
        <w:spacing w:after="200" w:line="276" w:lineRule="auto"/>
        <w:outlineLvl w:val="0"/>
      </w:pPr>
      <w:r>
        <w:rPr>
          <w:b/>
          <w:sz w:val="28"/>
          <w:szCs w:val="28"/>
        </w:rPr>
        <w:lastRenderedPageBreak/>
        <w:t>Suggested detailed timetable</w:t>
      </w:r>
    </w:p>
    <w:p w:rsidR="00D25846" w:rsidRDefault="00D25846" w:rsidP="00D25846">
      <w:pPr>
        <w:keepNext/>
        <w:spacing w:after="200" w:line="276" w:lineRule="auto"/>
        <w:outlineLvl w:val="0"/>
      </w:pPr>
      <w:r w:rsidRPr="001758CC">
        <w:t>The timetable below is indicative only</w:t>
      </w:r>
      <w:r>
        <w:t xml:space="preserve"> and has been prepared for the purposes of consideration by stakeholders. A finalised workshop schedule will be circulated following the 12 February meeting. Dates may be subject to further changes pending meeting room availability.</w:t>
      </w:r>
    </w:p>
    <w:p w:rsidR="00D25846" w:rsidRDefault="00D25846" w:rsidP="00D25846">
      <w:pPr>
        <w:keepNext/>
        <w:spacing w:after="200" w:line="276" w:lineRule="auto"/>
        <w:outlineLvl w:val="0"/>
      </w:pPr>
      <w:r>
        <w:t xml:space="preserve">Discussion papers and other materials will be sent to interested stakeholders before each workshop. </w:t>
      </w:r>
    </w:p>
    <w:p w:rsidR="00D25846" w:rsidRDefault="00D25846" w:rsidP="00D25846">
      <w:pPr>
        <w:keepNext/>
        <w:spacing w:after="200" w:line="276" w:lineRule="auto"/>
        <w:outlineLvl w:val="0"/>
      </w:pPr>
      <w:r>
        <w:t xml:space="preserve">For the category analysis working group, discussion papers will be sent to interested stakeholders approximately one week prior to the relevant workshop. Feedback from interested stakeholders will be informally sought, which will be used to expedite and guide the discussion of issues during the workshops. </w:t>
      </w:r>
    </w:p>
    <w:p w:rsidR="00D25846" w:rsidRDefault="00D25846" w:rsidP="00D25846">
      <w:pPr>
        <w:keepNext/>
        <w:spacing w:after="200" w:line="276" w:lineRule="auto"/>
        <w:outlineLvl w:val="0"/>
      </w:pPr>
      <w:r>
        <w:t>For the economic benchmarking working group, two sets of discussion papers will be developed and published. The first set of papers will be published prior to the first phase of workshops, and will address issues relevant to all of the workshops of the first phase. Similarly, the second set of discussion papers will be published prior to the second phase of workshops. We will seek submissions on these discussion papers prior to the beginning of each phase.</w:t>
      </w:r>
    </w:p>
    <w:p w:rsidR="00D25846" w:rsidRPr="001758CC" w:rsidRDefault="00D25846" w:rsidP="00D25846">
      <w:pPr>
        <w:keepNext/>
        <w:spacing w:after="200" w:line="276" w:lineRule="auto"/>
        <w:outlineLvl w:val="0"/>
      </w:pPr>
    </w:p>
    <w:tbl>
      <w:tblPr>
        <w:tblW w:w="9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2126"/>
        <w:gridCol w:w="2834"/>
        <w:gridCol w:w="2835"/>
      </w:tblGrid>
      <w:tr w:rsidR="00D25846" w:rsidTr="00D25846">
        <w:tc>
          <w:tcPr>
            <w:tcW w:w="1384" w:type="dxa"/>
          </w:tcPr>
          <w:p w:rsidR="00D25846" w:rsidRPr="00D25846" w:rsidRDefault="00D25846" w:rsidP="00D25846">
            <w:pPr>
              <w:keepNext/>
              <w:spacing w:after="200" w:line="276" w:lineRule="auto"/>
              <w:outlineLvl w:val="0"/>
              <w:rPr>
                <w:b/>
                <w:sz w:val="20"/>
                <w:szCs w:val="20"/>
              </w:rPr>
            </w:pPr>
            <w:r w:rsidRPr="00D25846">
              <w:rPr>
                <w:b/>
                <w:sz w:val="20"/>
                <w:szCs w:val="20"/>
              </w:rPr>
              <w:t>Date</w:t>
            </w:r>
          </w:p>
        </w:tc>
        <w:tc>
          <w:tcPr>
            <w:tcW w:w="2126" w:type="dxa"/>
          </w:tcPr>
          <w:p w:rsidR="00D25846" w:rsidRPr="00D25846" w:rsidRDefault="00D25846" w:rsidP="00D25846">
            <w:pPr>
              <w:keepNext/>
              <w:spacing w:after="200" w:line="276" w:lineRule="auto"/>
              <w:outlineLvl w:val="0"/>
              <w:rPr>
                <w:b/>
                <w:sz w:val="20"/>
                <w:szCs w:val="20"/>
              </w:rPr>
            </w:pPr>
            <w:r w:rsidRPr="00D25846">
              <w:rPr>
                <w:b/>
                <w:sz w:val="20"/>
                <w:szCs w:val="20"/>
              </w:rPr>
              <w:t>General guideline consultation</w:t>
            </w:r>
          </w:p>
        </w:tc>
        <w:tc>
          <w:tcPr>
            <w:tcW w:w="2834" w:type="dxa"/>
          </w:tcPr>
          <w:p w:rsidR="00D25846" w:rsidRPr="00D25846" w:rsidRDefault="00D25846" w:rsidP="00D25846">
            <w:pPr>
              <w:keepNext/>
              <w:spacing w:after="200" w:line="276" w:lineRule="auto"/>
              <w:outlineLvl w:val="0"/>
              <w:rPr>
                <w:b/>
                <w:sz w:val="20"/>
                <w:szCs w:val="20"/>
              </w:rPr>
            </w:pPr>
            <w:r w:rsidRPr="00D25846">
              <w:rPr>
                <w:b/>
                <w:sz w:val="20"/>
                <w:szCs w:val="20"/>
              </w:rPr>
              <w:t xml:space="preserve">Economic benchmarking techniques </w:t>
            </w:r>
            <w:proofErr w:type="spellStart"/>
            <w:r w:rsidRPr="00D25846">
              <w:rPr>
                <w:b/>
                <w:sz w:val="20"/>
                <w:szCs w:val="20"/>
              </w:rPr>
              <w:t>workstream</w:t>
            </w:r>
            <w:proofErr w:type="spellEnd"/>
          </w:p>
        </w:tc>
        <w:tc>
          <w:tcPr>
            <w:tcW w:w="2835" w:type="dxa"/>
          </w:tcPr>
          <w:p w:rsidR="00D25846" w:rsidRPr="00D25846" w:rsidRDefault="00D25846" w:rsidP="00D25846">
            <w:pPr>
              <w:keepNext/>
              <w:spacing w:after="200" w:line="276" w:lineRule="auto"/>
              <w:outlineLvl w:val="0"/>
              <w:rPr>
                <w:b/>
                <w:sz w:val="20"/>
                <w:szCs w:val="20"/>
              </w:rPr>
            </w:pPr>
            <w:r w:rsidRPr="00D25846">
              <w:rPr>
                <w:b/>
                <w:sz w:val="20"/>
                <w:szCs w:val="20"/>
              </w:rPr>
              <w:t xml:space="preserve">Category analysis </w:t>
            </w:r>
            <w:proofErr w:type="spellStart"/>
            <w:r w:rsidRPr="00D25846">
              <w:rPr>
                <w:b/>
                <w:sz w:val="20"/>
                <w:szCs w:val="20"/>
              </w:rPr>
              <w:t>workstream</w:t>
            </w:r>
            <w:proofErr w:type="spellEnd"/>
          </w:p>
        </w:tc>
      </w:tr>
      <w:tr w:rsidR="00D25846" w:rsidTr="00D25846">
        <w:tc>
          <w:tcPr>
            <w:tcW w:w="1384" w:type="dxa"/>
            <w:vAlign w:val="center"/>
          </w:tcPr>
          <w:p w:rsidR="00D25846" w:rsidRPr="00D25846" w:rsidRDefault="00D25846" w:rsidP="00D25846">
            <w:pPr>
              <w:keepNext/>
              <w:spacing w:after="200" w:line="276" w:lineRule="auto"/>
              <w:outlineLvl w:val="0"/>
              <w:rPr>
                <w:rFonts w:asciiTheme="minorHAnsi" w:hAnsiTheme="minorHAnsi"/>
                <w:sz w:val="20"/>
                <w:szCs w:val="20"/>
              </w:rPr>
            </w:pPr>
            <w:r w:rsidRPr="00D25846">
              <w:rPr>
                <w:rFonts w:asciiTheme="minorHAnsi" w:hAnsiTheme="minorHAnsi"/>
                <w:sz w:val="20"/>
                <w:szCs w:val="20"/>
              </w:rPr>
              <w:t>12 Feb 2013</w:t>
            </w:r>
          </w:p>
        </w:tc>
        <w:tc>
          <w:tcPr>
            <w:tcW w:w="2126" w:type="dxa"/>
            <w:vAlign w:val="center"/>
          </w:tcPr>
          <w:p w:rsidR="00D25846" w:rsidRPr="00D25846" w:rsidRDefault="00D25846" w:rsidP="00FC601E">
            <w:pPr>
              <w:keepNext/>
              <w:spacing w:after="200" w:line="276" w:lineRule="auto"/>
              <w:outlineLvl w:val="0"/>
              <w:rPr>
                <w:rFonts w:asciiTheme="minorHAnsi" w:hAnsiTheme="minorHAnsi"/>
                <w:sz w:val="20"/>
                <w:szCs w:val="20"/>
              </w:rPr>
            </w:pPr>
            <w:r w:rsidRPr="00D25846">
              <w:rPr>
                <w:rFonts w:asciiTheme="minorHAnsi" w:hAnsiTheme="minorHAnsi"/>
                <w:sz w:val="20"/>
                <w:szCs w:val="20"/>
              </w:rPr>
              <w:t xml:space="preserve">Initiation </w:t>
            </w:r>
            <w:r w:rsidR="00FC601E">
              <w:rPr>
                <w:rFonts w:asciiTheme="minorHAnsi" w:hAnsiTheme="minorHAnsi"/>
                <w:sz w:val="20"/>
                <w:szCs w:val="20"/>
              </w:rPr>
              <w:t>roundtable</w:t>
            </w:r>
          </w:p>
        </w:tc>
        <w:tc>
          <w:tcPr>
            <w:tcW w:w="2834" w:type="dxa"/>
            <w:vAlign w:val="center"/>
          </w:tcPr>
          <w:p w:rsidR="00D25846" w:rsidRPr="00D25846" w:rsidRDefault="00D25846" w:rsidP="00D25846">
            <w:pPr>
              <w:keepNext/>
              <w:spacing w:after="200" w:line="276" w:lineRule="auto"/>
              <w:outlineLvl w:val="0"/>
              <w:rPr>
                <w:rFonts w:asciiTheme="minorHAnsi" w:hAnsiTheme="minorHAnsi"/>
                <w:sz w:val="20"/>
                <w:szCs w:val="20"/>
              </w:rPr>
            </w:pPr>
          </w:p>
        </w:tc>
        <w:tc>
          <w:tcPr>
            <w:tcW w:w="2835" w:type="dxa"/>
            <w:vAlign w:val="center"/>
          </w:tcPr>
          <w:p w:rsidR="00D25846" w:rsidRPr="00D25846" w:rsidRDefault="00D25846" w:rsidP="00D25846">
            <w:pPr>
              <w:keepNext/>
              <w:spacing w:after="200" w:line="276" w:lineRule="auto"/>
              <w:outlineLvl w:val="0"/>
              <w:rPr>
                <w:rFonts w:asciiTheme="minorHAnsi" w:hAnsiTheme="minorHAnsi"/>
                <w:sz w:val="20"/>
                <w:szCs w:val="20"/>
              </w:rPr>
            </w:pPr>
          </w:p>
        </w:tc>
      </w:tr>
      <w:tr w:rsidR="00D25846" w:rsidTr="00D25846">
        <w:tc>
          <w:tcPr>
            <w:tcW w:w="1384" w:type="dxa"/>
            <w:vAlign w:val="center"/>
          </w:tcPr>
          <w:p w:rsidR="00D25846" w:rsidRPr="00D25846" w:rsidRDefault="00D25846" w:rsidP="00D25846">
            <w:pPr>
              <w:keepNext/>
              <w:spacing w:after="200" w:line="276" w:lineRule="auto"/>
              <w:outlineLvl w:val="0"/>
              <w:rPr>
                <w:rFonts w:asciiTheme="minorHAnsi" w:hAnsiTheme="minorHAnsi"/>
                <w:sz w:val="20"/>
                <w:szCs w:val="20"/>
              </w:rPr>
            </w:pPr>
            <w:r w:rsidRPr="00D25846">
              <w:rPr>
                <w:rFonts w:asciiTheme="minorHAnsi" w:hAnsiTheme="minorHAnsi"/>
                <w:sz w:val="20"/>
                <w:szCs w:val="20"/>
              </w:rPr>
              <w:t>26 Feb 2013</w:t>
            </w:r>
          </w:p>
        </w:tc>
        <w:tc>
          <w:tcPr>
            <w:tcW w:w="2126" w:type="dxa"/>
            <w:vAlign w:val="center"/>
          </w:tcPr>
          <w:p w:rsidR="00D25846" w:rsidRPr="00D25846" w:rsidRDefault="00D25846" w:rsidP="00D25846">
            <w:pPr>
              <w:keepNext/>
              <w:spacing w:after="200" w:line="276" w:lineRule="auto"/>
              <w:outlineLvl w:val="0"/>
              <w:rPr>
                <w:rFonts w:asciiTheme="minorHAnsi" w:hAnsiTheme="minorHAnsi"/>
                <w:sz w:val="20"/>
                <w:szCs w:val="20"/>
              </w:rPr>
            </w:pPr>
          </w:p>
        </w:tc>
        <w:tc>
          <w:tcPr>
            <w:tcW w:w="2834" w:type="dxa"/>
            <w:vAlign w:val="center"/>
          </w:tcPr>
          <w:p w:rsidR="00D25846" w:rsidRPr="00D25846" w:rsidRDefault="00D25846" w:rsidP="00D25846">
            <w:pPr>
              <w:keepNext/>
              <w:spacing w:after="200" w:line="276" w:lineRule="auto"/>
              <w:outlineLvl w:val="0"/>
              <w:rPr>
                <w:rFonts w:asciiTheme="minorHAnsi" w:hAnsiTheme="minorHAnsi"/>
                <w:sz w:val="20"/>
                <w:szCs w:val="20"/>
              </w:rPr>
            </w:pPr>
          </w:p>
        </w:tc>
        <w:tc>
          <w:tcPr>
            <w:tcW w:w="2835" w:type="dxa"/>
            <w:vAlign w:val="center"/>
          </w:tcPr>
          <w:p w:rsidR="00D25846" w:rsidRPr="00D25846" w:rsidRDefault="00D25846" w:rsidP="00D25846">
            <w:pPr>
              <w:keepNext/>
              <w:spacing w:after="200" w:line="276" w:lineRule="auto"/>
              <w:outlineLvl w:val="0"/>
              <w:rPr>
                <w:rFonts w:asciiTheme="minorHAnsi" w:hAnsiTheme="minorHAnsi"/>
                <w:sz w:val="20"/>
                <w:szCs w:val="20"/>
              </w:rPr>
            </w:pPr>
            <w:r w:rsidRPr="00D25846">
              <w:rPr>
                <w:rFonts w:asciiTheme="minorHAnsi" w:hAnsiTheme="minorHAnsi"/>
                <w:sz w:val="20"/>
                <w:szCs w:val="20"/>
              </w:rPr>
              <w:t>1.1 – Category selection</w:t>
            </w:r>
          </w:p>
        </w:tc>
      </w:tr>
      <w:tr w:rsidR="00D25846" w:rsidTr="00D25846">
        <w:tc>
          <w:tcPr>
            <w:tcW w:w="1384" w:type="dxa"/>
            <w:vAlign w:val="center"/>
          </w:tcPr>
          <w:p w:rsidR="00D25846" w:rsidRPr="00D25846" w:rsidRDefault="00D25846" w:rsidP="00D25846">
            <w:pPr>
              <w:keepNext/>
              <w:spacing w:after="200" w:line="276" w:lineRule="auto"/>
              <w:outlineLvl w:val="0"/>
              <w:rPr>
                <w:rFonts w:asciiTheme="minorHAnsi" w:hAnsiTheme="minorHAnsi"/>
                <w:sz w:val="20"/>
                <w:szCs w:val="20"/>
              </w:rPr>
            </w:pPr>
            <w:r w:rsidRPr="00D25846">
              <w:rPr>
                <w:rFonts w:asciiTheme="minorHAnsi" w:hAnsiTheme="minorHAnsi"/>
                <w:sz w:val="20"/>
                <w:szCs w:val="20"/>
              </w:rPr>
              <w:t>7 Mar 2013</w:t>
            </w:r>
          </w:p>
        </w:tc>
        <w:tc>
          <w:tcPr>
            <w:tcW w:w="2126" w:type="dxa"/>
            <w:vAlign w:val="center"/>
          </w:tcPr>
          <w:p w:rsidR="00D25846" w:rsidRPr="00D25846" w:rsidRDefault="00D25846" w:rsidP="00D25846">
            <w:pPr>
              <w:keepNext/>
              <w:spacing w:after="200" w:line="276" w:lineRule="auto"/>
              <w:outlineLvl w:val="0"/>
              <w:rPr>
                <w:rFonts w:asciiTheme="minorHAnsi" w:hAnsiTheme="minorHAnsi"/>
                <w:sz w:val="20"/>
                <w:szCs w:val="20"/>
              </w:rPr>
            </w:pPr>
          </w:p>
        </w:tc>
        <w:tc>
          <w:tcPr>
            <w:tcW w:w="2834" w:type="dxa"/>
            <w:vAlign w:val="center"/>
          </w:tcPr>
          <w:p w:rsidR="00D25846" w:rsidRPr="00D25846" w:rsidRDefault="00D25846" w:rsidP="00D25846">
            <w:pPr>
              <w:keepNext/>
              <w:spacing w:after="200" w:line="276" w:lineRule="auto"/>
              <w:outlineLvl w:val="0"/>
              <w:rPr>
                <w:rFonts w:asciiTheme="minorHAnsi" w:hAnsiTheme="minorHAnsi"/>
                <w:sz w:val="20"/>
                <w:szCs w:val="20"/>
              </w:rPr>
            </w:pPr>
          </w:p>
        </w:tc>
        <w:tc>
          <w:tcPr>
            <w:tcW w:w="2835" w:type="dxa"/>
            <w:vAlign w:val="center"/>
          </w:tcPr>
          <w:p w:rsidR="00D25846" w:rsidRPr="00D25846" w:rsidRDefault="00D25846" w:rsidP="00D25846">
            <w:pPr>
              <w:keepNext/>
              <w:spacing w:after="200" w:line="276" w:lineRule="auto"/>
              <w:outlineLvl w:val="0"/>
              <w:rPr>
                <w:rFonts w:asciiTheme="minorHAnsi" w:hAnsiTheme="minorHAnsi"/>
                <w:sz w:val="20"/>
                <w:szCs w:val="20"/>
              </w:rPr>
            </w:pPr>
            <w:r w:rsidRPr="00D25846">
              <w:rPr>
                <w:rFonts w:asciiTheme="minorHAnsi" w:hAnsiTheme="minorHAnsi"/>
                <w:sz w:val="20"/>
                <w:szCs w:val="20"/>
              </w:rPr>
              <w:t>2.1 – Replacement and demand driven augmentation</w:t>
            </w:r>
          </w:p>
        </w:tc>
      </w:tr>
      <w:tr w:rsidR="00D25846" w:rsidTr="00D25846">
        <w:tc>
          <w:tcPr>
            <w:tcW w:w="1384" w:type="dxa"/>
            <w:vAlign w:val="center"/>
          </w:tcPr>
          <w:p w:rsidR="00D25846" w:rsidRPr="00D25846" w:rsidRDefault="00D25846" w:rsidP="00D25846">
            <w:pPr>
              <w:keepNext/>
              <w:spacing w:after="200" w:line="276" w:lineRule="auto"/>
              <w:outlineLvl w:val="0"/>
              <w:rPr>
                <w:rFonts w:asciiTheme="minorHAnsi" w:hAnsiTheme="minorHAnsi"/>
                <w:sz w:val="20"/>
                <w:szCs w:val="20"/>
              </w:rPr>
            </w:pPr>
            <w:r w:rsidRPr="00D25846">
              <w:rPr>
                <w:rFonts w:asciiTheme="minorHAnsi" w:hAnsiTheme="minorHAnsi"/>
                <w:sz w:val="20"/>
                <w:szCs w:val="20"/>
              </w:rPr>
              <w:t>12 Mar 2013</w:t>
            </w:r>
          </w:p>
        </w:tc>
        <w:tc>
          <w:tcPr>
            <w:tcW w:w="2126" w:type="dxa"/>
            <w:vAlign w:val="center"/>
          </w:tcPr>
          <w:p w:rsidR="00D25846" w:rsidRPr="00D25846" w:rsidRDefault="00D25846" w:rsidP="00D25846">
            <w:pPr>
              <w:keepNext/>
              <w:spacing w:after="200" w:line="276" w:lineRule="auto"/>
              <w:outlineLvl w:val="0"/>
              <w:rPr>
                <w:rFonts w:asciiTheme="minorHAnsi" w:hAnsiTheme="minorHAnsi"/>
                <w:sz w:val="20"/>
                <w:szCs w:val="20"/>
              </w:rPr>
            </w:pPr>
          </w:p>
        </w:tc>
        <w:tc>
          <w:tcPr>
            <w:tcW w:w="2834" w:type="dxa"/>
            <w:vAlign w:val="center"/>
          </w:tcPr>
          <w:p w:rsidR="00D25846" w:rsidRPr="00D25846" w:rsidRDefault="00D25846" w:rsidP="00D25846">
            <w:pPr>
              <w:keepNext/>
              <w:spacing w:after="200" w:line="276" w:lineRule="auto"/>
              <w:outlineLvl w:val="0"/>
              <w:rPr>
                <w:rFonts w:asciiTheme="minorHAnsi" w:hAnsiTheme="minorHAnsi"/>
                <w:sz w:val="20"/>
                <w:szCs w:val="20"/>
              </w:rPr>
            </w:pPr>
            <w:r w:rsidRPr="00D25846">
              <w:rPr>
                <w:rFonts w:asciiTheme="minorHAnsi" w:hAnsiTheme="minorHAnsi"/>
                <w:sz w:val="20"/>
                <w:szCs w:val="20"/>
              </w:rPr>
              <w:t xml:space="preserve"> 1.1 – Network outputs (</w:t>
            </w:r>
            <w:proofErr w:type="spellStart"/>
            <w:r w:rsidRPr="00D25846">
              <w:rPr>
                <w:rFonts w:asciiTheme="minorHAnsi" w:hAnsiTheme="minorHAnsi"/>
                <w:sz w:val="20"/>
                <w:szCs w:val="20"/>
              </w:rPr>
              <w:t>Dx</w:t>
            </w:r>
            <w:proofErr w:type="spellEnd"/>
            <w:r w:rsidRPr="00D25846">
              <w:rPr>
                <w:rFonts w:asciiTheme="minorHAnsi" w:hAnsiTheme="minorHAnsi"/>
                <w:sz w:val="20"/>
                <w:szCs w:val="20"/>
              </w:rPr>
              <w:t>)</w:t>
            </w:r>
          </w:p>
        </w:tc>
        <w:tc>
          <w:tcPr>
            <w:tcW w:w="2835" w:type="dxa"/>
            <w:vAlign w:val="center"/>
          </w:tcPr>
          <w:p w:rsidR="00D25846" w:rsidRPr="00D25846" w:rsidRDefault="00D25846" w:rsidP="00D25846">
            <w:pPr>
              <w:keepNext/>
              <w:spacing w:after="200" w:line="276" w:lineRule="auto"/>
              <w:outlineLvl w:val="0"/>
              <w:rPr>
                <w:rFonts w:asciiTheme="minorHAnsi" w:hAnsiTheme="minorHAnsi"/>
                <w:sz w:val="20"/>
                <w:szCs w:val="20"/>
              </w:rPr>
            </w:pPr>
          </w:p>
        </w:tc>
      </w:tr>
      <w:tr w:rsidR="00D25846" w:rsidTr="00D25846">
        <w:tc>
          <w:tcPr>
            <w:tcW w:w="1384" w:type="dxa"/>
            <w:vAlign w:val="center"/>
          </w:tcPr>
          <w:p w:rsidR="00D25846" w:rsidRPr="00D25846" w:rsidRDefault="00D25846" w:rsidP="00D25846">
            <w:pPr>
              <w:keepNext/>
              <w:spacing w:after="200" w:line="276" w:lineRule="auto"/>
              <w:outlineLvl w:val="0"/>
              <w:rPr>
                <w:rFonts w:asciiTheme="minorHAnsi" w:hAnsiTheme="minorHAnsi"/>
                <w:sz w:val="20"/>
                <w:szCs w:val="20"/>
              </w:rPr>
            </w:pPr>
            <w:r w:rsidRPr="00D25846">
              <w:rPr>
                <w:rFonts w:asciiTheme="minorHAnsi" w:hAnsiTheme="minorHAnsi"/>
                <w:sz w:val="20"/>
                <w:szCs w:val="20"/>
              </w:rPr>
              <w:t>14 Mar 2013</w:t>
            </w:r>
          </w:p>
        </w:tc>
        <w:tc>
          <w:tcPr>
            <w:tcW w:w="2126" w:type="dxa"/>
            <w:vAlign w:val="center"/>
          </w:tcPr>
          <w:p w:rsidR="00D25846" w:rsidRPr="00D25846" w:rsidRDefault="00D25846" w:rsidP="00D25846">
            <w:pPr>
              <w:keepNext/>
              <w:spacing w:after="200" w:line="276" w:lineRule="auto"/>
              <w:outlineLvl w:val="0"/>
              <w:rPr>
                <w:rFonts w:asciiTheme="minorHAnsi" w:hAnsiTheme="minorHAnsi"/>
                <w:sz w:val="20"/>
                <w:szCs w:val="20"/>
              </w:rPr>
            </w:pPr>
          </w:p>
        </w:tc>
        <w:tc>
          <w:tcPr>
            <w:tcW w:w="2834" w:type="dxa"/>
            <w:vAlign w:val="center"/>
          </w:tcPr>
          <w:p w:rsidR="00D25846" w:rsidRPr="00D25846" w:rsidRDefault="00D25846" w:rsidP="00D25846">
            <w:pPr>
              <w:keepNext/>
              <w:spacing w:after="200" w:line="276" w:lineRule="auto"/>
              <w:outlineLvl w:val="0"/>
              <w:rPr>
                <w:rFonts w:asciiTheme="minorHAnsi" w:hAnsiTheme="minorHAnsi"/>
                <w:sz w:val="20"/>
                <w:szCs w:val="20"/>
              </w:rPr>
            </w:pPr>
            <w:r w:rsidRPr="00D25846">
              <w:rPr>
                <w:rFonts w:asciiTheme="minorHAnsi" w:hAnsiTheme="minorHAnsi"/>
                <w:sz w:val="20"/>
                <w:szCs w:val="20"/>
              </w:rPr>
              <w:t xml:space="preserve"> 1.2 – Network outputs (</w:t>
            </w:r>
            <w:proofErr w:type="spellStart"/>
            <w:r w:rsidRPr="00D25846">
              <w:rPr>
                <w:rFonts w:asciiTheme="minorHAnsi" w:hAnsiTheme="minorHAnsi"/>
                <w:sz w:val="20"/>
                <w:szCs w:val="20"/>
              </w:rPr>
              <w:t>Tx</w:t>
            </w:r>
            <w:proofErr w:type="spellEnd"/>
            <w:r w:rsidRPr="00D25846">
              <w:rPr>
                <w:rFonts w:asciiTheme="minorHAnsi" w:hAnsiTheme="minorHAnsi"/>
                <w:sz w:val="20"/>
                <w:szCs w:val="20"/>
              </w:rPr>
              <w:t>)</w:t>
            </w:r>
          </w:p>
        </w:tc>
        <w:tc>
          <w:tcPr>
            <w:tcW w:w="2835" w:type="dxa"/>
            <w:vAlign w:val="center"/>
          </w:tcPr>
          <w:p w:rsidR="00D25846" w:rsidRPr="00D25846" w:rsidRDefault="00D25846" w:rsidP="00D25846">
            <w:pPr>
              <w:keepNext/>
              <w:spacing w:after="200" w:line="276" w:lineRule="auto"/>
              <w:outlineLvl w:val="0"/>
              <w:rPr>
                <w:rFonts w:asciiTheme="minorHAnsi" w:hAnsiTheme="minorHAnsi"/>
                <w:sz w:val="20"/>
                <w:szCs w:val="20"/>
              </w:rPr>
            </w:pPr>
          </w:p>
        </w:tc>
      </w:tr>
      <w:tr w:rsidR="00D25846" w:rsidTr="00D25846">
        <w:tc>
          <w:tcPr>
            <w:tcW w:w="1384" w:type="dxa"/>
            <w:vAlign w:val="center"/>
          </w:tcPr>
          <w:p w:rsidR="00D25846" w:rsidRPr="00D25846" w:rsidRDefault="00D25846" w:rsidP="00D25846">
            <w:pPr>
              <w:keepNext/>
              <w:spacing w:after="200" w:line="276" w:lineRule="auto"/>
              <w:outlineLvl w:val="0"/>
              <w:rPr>
                <w:rFonts w:asciiTheme="minorHAnsi" w:hAnsiTheme="minorHAnsi"/>
                <w:sz w:val="20"/>
                <w:szCs w:val="20"/>
              </w:rPr>
            </w:pPr>
            <w:r w:rsidRPr="00D25846">
              <w:rPr>
                <w:rFonts w:asciiTheme="minorHAnsi" w:hAnsiTheme="minorHAnsi"/>
                <w:sz w:val="20"/>
                <w:szCs w:val="20"/>
              </w:rPr>
              <w:t>19 Mar 2013</w:t>
            </w:r>
          </w:p>
        </w:tc>
        <w:tc>
          <w:tcPr>
            <w:tcW w:w="2126" w:type="dxa"/>
            <w:vAlign w:val="center"/>
          </w:tcPr>
          <w:p w:rsidR="00D25846" w:rsidRPr="00D25846" w:rsidRDefault="00D25846" w:rsidP="00D25846">
            <w:pPr>
              <w:keepNext/>
              <w:spacing w:after="200" w:line="276" w:lineRule="auto"/>
              <w:outlineLvl w:val="0"/>
              <w:rPr>
                <w:rFonts w:asciiTheme="minorHAnsi" w:hAnsiTheme="minorHAnsi"/>
                <w:sz w:val="20"/>
                <w:szCs w:val="20"/>
              </w:rPr>
            </w:pPr>
          </w:p>
        </w:tc>
        <w:tc>
          <w:tcPr>
            <w:tcW w:w="2834" w:type="dxa"/>
            <w:vAlign w:val="center"/>
          </w:tcPr>
          <w:p w:rsidR="00D25846" w:rsidRPr="00D25846" w:rsidRDefault="00D25846" w:rsidP="00D25846">
            <w:pPr>
              <w:keepNext/>
              <w:spacing w:after="200" w:line="276" w:lineRule="auto"/>
              <w:outlineLvl w:val="0"/>
              <w:rPr>
                <w:rFonts w:asciiTheme="minorHAnsi" w:hAnsiTheme="minorHAnsi"/>
                <w:sz w:val="20"/>
                <w:szCs w:val="20"/>
              </w:rPr>
            </w:pPr>
            <w:r w:rsidRPr="00D25846">
              <w:rPr>
                <w:rFonts w:asciiTheme="minorHAnsi" w:hAnsiTheme="minorHAnsi"/>
                <w:sz w:val="20"/>
                <w:szCs w:val="20"/>
              </w:rPr>
              <w:t xml:space="preserve"> 1.3 (morning) – Network inputs</w:t>
            </w:r>
          </w:p>
        </w:tc>
        <w:tc>
          <w:tcPr>
            <w:tcW w:w="2835" w:type="dxa"/>
            <w:vAlign w:val="center"/>
          </w:tcPr>
          <w:p w:rsidR="00D25846" w:rsidRPr="00D25846" w:rsidRDefault="00D25846" w:rsidP="00D25846">
            <w:pPr>
              <w:keepNext/>
              <w:spacing w:after="200" w:line="276" w:lineRule="auto"/>
              <w:outlineLvl w:val="0"/>
              <w:rPr>
                <w:rFonts w:asciiTheme="minorHAnsi" w:hAnsiTheme="minorHAnsi"/>
                <w:sz w:val="20"/>
                <w:szCs w:val="20"/>
              </w:rPr>
            </w:pPr>
            <w:r w:rsidRPr="00D25846">
              <w:rPr>
                <w:rFonts w:asciiTheme="minorHAnsi" w:hAnsiTheme="minorHAnsi"/>
                <w:sz w:val="20"/>
                <w:szCs w:val="20"/>
              </w:rPr>
              <w:t xml:space="preserve">2.2 (afternoon) – Connections and customer driven works </w:t>
            </w:r>
          </w:p>
        </w:tc>
      </w:tr>
      <w:tr w:rsidR="00D25846" w:rsidTr="00D25846">
        <w:tc>
          <w:tcPr>
            <w:tcW w:w="1384" w:type="dxa"/>
            <w:vAlign w:val="center"/>
          </w:tcPr>
          <w:p w:rsidR="00D25846" w:rsidRPr="00D25846" w:rsidRDefault="00D25846" w:rsidP="00D25846">
            <w:pPr>
              <w:keepNext/>
              <w:spacing w:after="200" w:line="276" w:lineRule="auto"/>
              <w:outlineLvl w:val="0"/>
              <w:rPr>
                <w:rFonts w:asciiTheme="minorHAnsi" w:hAnsiTheme="minorHAnsi"/>
                <w:sz w:val="20"/>
                <w:szCs w:val="20"/>
              </w:rPr>
            </w:pPr>
            <w:r w:rsidRPr="00D25846">
              <w:rPr>
                <w:rFonts w:asciiTheme="minorHAnsi" w:hAnsiTheme="minorHAnsi"/>
                <w:sz w:val="20"/>
                <w:szCs w:val="20"/>
              </w:rPr>
              <w:t>26 Mar 2013</w:t>
            </w:r>
          </w:p>
        </w:tc>
        <w:tc>
          <w:tcPr>
            <w:tcW w:w="2126" w:type="dxa"/>
            <w:vAlign w:val="center"/>
          </w:tcPr>
          <w:p w:rsidR="00D25846" w:rsidRPr="00D25846" w:rsidRDefault="00D25846" w:rsidP="00D25846">
            <w:pPr>
              <w:keepNext/>
              <w:spacing w:after="200" w:line="276" w:lineRule="auto"/>
              <w:outlineLvl w:val="0"/>
              <w:rPr>
                <w:rFonts w:asciiTheme="minorHAnsi" w:hAnsiTheme="minorHAnsi"/>
                <w:sz w:val="20"/>
                <w:szCs w:val="20"/>
              </w:rPr>
            </w:pPr>
          </w:p>
        </w:tc>
        <w:tc>
          <w:tcPr>
            <w:tcW w:w="2834" w:type="dxa"/>
            <w:vAlign w:val="center"/>
          </w:tcPr>
          <w:p w:rsidR="00D25846" w:rsidRPr="00D25846" w:rsidRDefault="00D25846" w:rsidP="00D25846">
            <w:pPr>
              <w:keepNext/>
              <w:spacing w:after="200" w:line="276" w:lineRule="auto"/>
              <w:outlineLvl w:val="0"/>
              <w:rPr>
                <w:rFonts w:asciiTheme="minorHAnsi" w:hAnsiTheme="minorHAnsi"/>
                <w:sz w:val="20"/>
                <w:szCs w:val="20"/>
              </w:rPr>
            </w:pPr>
          </w:p>
        </w:tc>
        <w:tc>
          <w:tcPr>
            <w:tcW w:w="2835" w:type="dxa"/>
            <w:vAlign w:val="center"/>
          </w:tcPr>
          <w:p w:rsidR="00D25846" w:rsidRPr="00D25846" w:rsidRDefault="00D25846" w:rsidP="00D25846">
            <w:pPr>
              <w:keepNext/>
              <w:spacing w:after="200" w:line="276" w:lineRule="auto"/>
              <w:outlineLvl w:val="0"/>
              <w:rPr>
                <w:rFonts w:asciiTheme="minorHAnsi" w:hAnsiTheme="minorHAnsi"/>
                <w:sz w:val="20"/>
                <w:szCs w:val="20"/>
              </w:rPr>
            </w:pPr>
            <w:r w:rsidRPr="00D25846">
              <w:rPr>
                <w:rFonts w:asciiTheme="minorHAnsi" w:hAnsiTheme="minorHAnsi"/>
                <w:sz w:val="20"/>
                <w:szCs w:val="20"/>
              </w:rPr>
              <w:t xml:space="preserve"> 2.3 – Opex</w:t>
            </w:r>
          </w:p>
        </w:tc>
      </w:tr>
      <w:tr w:rsidR="00D25846" w:rsidTr="00D25846">
        <w:tc>
          <w:tcPr>
            <w:tcW w:w="1384" w:type="dxa"/>
            <w:vAlign w:val="center"/>
          </w:tcPr>
          <w:p w:rsidR="00D25846" w:rsidRPr="00D25846" w:rsidRDefault="00D25846" w:rsidP="00D25846">
            <w:pPr>
              <w:keepNext/>
              <w:spacing w:after="200" w:line="276" w:lineRule="auto"/>
              <w:outlineLvl w:val="0"/>
              <w:rPr>
                <w:rFonts w:asciiTheme="minorHAnsi" w:hAnsiTheme="minorHAnsi"/>
                <w:sz w:val="20"/>
                <w:szCs w:val="20"/>
              </w:rPr>
            </w:pPr>
            <w:r w:rsidRPr="00D25846">
              <w:rPr>
                <w:rFonts w:asciiTheme="minorHAnsi" w:hAnsiTheme="minorHAnsi"/>
                <w:sz w:val="20"/>
                <w:szCs w:val="20"/>
              </w:rPr>
              <w:t>11 Apr 2013</w:t>
            </w:r>
          </w:p>
        </w:tc>
        <w:tc>
          <w:tcPr>
            <w:tcW w:w="2126" w:type="dxa"/>
            <w:vAlign w:val="center"/>
          </w:tcPr>
          <w:p w:rsidR="00D25846" w:rsidRPr="00D25846" w:rsidRDefault="00D25846" w:rsidP="00D25846">
            <w:pPr>
              <w:keepNext/>
              <w:spacing w:after="200" w:line="276" w:lineRule="auto"/>
              <w:outlineLvl w:val="0"/>
              <w:rPr>
                <w:rFonts w:asciiTheme="minorHAnsi" w:hAnsiTheme="minorHAnsi"/>
                <w:sz w:val="20"/>
                <w:szCs w:val="20"/>
              </w:rPr>
            </w:pPr>
          </w:p>
        </w:tc>
        <w:tc>
          <w:tcPr>
            <w:tcW w:w="2834" w:type="dxa"/>
            <w:vAlign w:val="center"/>
          </w:tcPr>
          <w:p w:rsidR="00D25846" w:rsidRPr="00D25846" w:rsidRDefault="00D25846" w:rsidP="00D25846">
            <w:pPr>
              <w:keepNext/>
              <w:spacing w:after="200" w:line="276" w:lineRule="auto"/>
              <w:outlineLvl w:val="0"/>
              <w:rPr>
                <w:rFonts w:asciiTheme="minorHAnsi" w:hAnsiTheme="minorHAnsi"/>
                <w:sz w:val="20"/>
                <w:szCs w:val="20"/>
              </w:rPr>
            </w:pPr>
          </w:p>
        </w:tc>
        <w:tc>
          <w:tcPr>
            <w:tcW w:w="2835" w:type="dxa"/>
            <w:vAlign w:val="center"/>
          </w:tcPr>
          <w:p w:rsidR="00D25846" w:rsidRPr="00D25846" w:rsidRDefault="00D25846" w:rsidP="00D25846">
            <w:pPr>
              <w:keepNext/>
              <w:spacing w:after="200" w:line="276" w:lineRule="auto"/>
              <w:outlineLvl w:val="0"/>
              <w:rPr>
                <w:rFonts w:asciiTheme="minorHAnsi" w:hAnsiTheme="minorHAnsi"/>
                <w:sz w:val="20"/>
                <w:szCs w:val="20"/>
              </w:rPr>
            </w:pPr>
            <w:r w:rsidRPr="00D25846">
              <w:rPr>
                <w:rFonts w:asciiTheme="minorHAnsi" w:hAnsiTheme="minorHAnsi"/>
                <w:sz w:val="20"/>
                <w:szCs w:val="20"/>
              </w:rPr>
              <w:t xml:space="preserve"> 2.4 – Overheads</w:t>
            </w:r>
          </w:p>
        </w:tc>
      </w:tr>
      <w:tr w:rsidR="00D25846" w:rsidTr="00D25846">
        <w:tc>
          <w:tcPr>
            <w:tcW w:w="1384" w:type="dxa"/>
            <w:vAlign w:val="center"/>
          </w:tcPr>
          <w:p w:rsidR="00D25846" w:rsidRPr="00D25846" w:rsidRDefault="00D25846" w:rsidP="00D25846">
            <w:pPr>
              <w:keepNext/>
              <w:spacing w:after="200" w:line="276" w:lineRule="auto"/>
              <w:outlineLvl w:val="0"/>
              <w:rPr>
                <w:rFonts w:asciiTheme="minorHAnsi" w:hAnsiTheme="minorHAnsi"/>
                <w:sz w:val="20"/>
                <w:szCs w:val="20"/>
              </w:rPr>
            </w:pPr>
            <w:r w:rsidRPr="00D25846">
              <w:rPr>
                <w:rFonts w:asciiTheme="minorHAnsi" w:hAnsiTheme="minorHAnsi"/>
                <w:sz w:val="20"/>
                <w:szCs w:val="20"/>
              </w:rPr>
              <w:t>23 Apr 2013</w:t>
            </w:r>
          </w:p>
        </w:tc>
        <w:tc>
          <w:tcPr>
            <w:tcW w:w="2126" w:type="dxa"/>
            <w:vAlign w:val="center"/>
          </w:tcPr>
          <w:p w:rsidR="00D25846" w:rsidRPr="00D25846" w:rsidRDefault="00D25846" w:rsidP="00D25846">
            <w:pPr>
              <w:keepNext/>
              <w:spacing w:after="200" w:line="276" w:lineRule="auto"/>
              <w:outlineLvl w:val="0"/>
              <w:rPr>
                <w:rFonts w:asciiTheme="minorHAnsi" w:hAnsiTheme="minorHAnsi"/>
                <w:sz w:val="20"/>
                <w:szCs w:val="20"/>
              </w:rPr>
            </w:pPr>
          </w:p>
        </w:tc>
        <w:tc>
          <w:tcPr>
            <w:tcW w:w="2834" w:type="dxa"/>
            <w:vAlign w:val="center"/>
          </w:tcPr>
          <w:p w:rsidR="00D25846" w:rsidRPr="00D25846" w:rsidRDefault="00D25846" w:rsidP="00D25846">
            <w:pPr>
              <w:keepNext/>
              <w:spacing w:after="200" w:line="276" w:lineRule="auto"/>
              <w:outlineLvl w:val="0"/>
              <w:rPr>
                <w:rFonts w:asciiTheme="minorHAnsi" w:hAnsiTheme="minorHAnsi"/>
                <w:sz w:val="20"/>
                <w:szCs w:val="20"/>
              </w:rPr>
            </w:pPr>
          </w:p>
        </w:tc>
        <w:tc>
          <w:tcPr>
            <w:tcW w:w="2835" w:type="dxa"/>
            <w:vAlign w:val="center"/>
          </w:tcPr>
          <w:p w:rsidR="00D25846" w:rsidRPr="00D25846" w:rsidRDefault="00D25846" w:rsidP="00D25846">
            <w:pPr>
              <w:keepNext/>
              <w:spacing w:after="200" w:line="276" w:lineRule="auto"/>
              <w:outlineLvl w:val="0"/>
              <w:rPr>
                <w:rFonts w:asciiTheme="minorHAnsi" w:hAnsiTheme="minorHAnsi"/>
                <w:sz w:val="20"/>
                <w:szCs w:val="20"/>
              </w:rPr>
            </w:pPr>
            <w:r w:rsidRPr="00D25846">
              <w:rPr>
                <w:rFonts w:asciiTheme="minorHAnsi" w:hAnsiTheme="minorHAnsi"/>
                <w:sz w:val="20"/>
                <w:szCs w:val="20"/>
              </w:rPr>
              <w:t xml:space="preserve"> 3.1 – reliance on actual data, base step and trends, productivity change</w:t>
            </w:r>
          </w:p>
        </w:tc>
      </w:tr>
      <w:tr w:rsidR="00D25846" w:rsidTr="00D25846">
        <w:tc>
          <w:tcPr>
            <w:tcW w:w="1384" w:type="dxa"/>
            <w:vAlign w:val="center"/>
          </w:tcPr>
          <w:p w:rsidR="00D25846" w:rsidRPr="00D25846" w:rsidRDefault="00D25846" w:rsidP="00D25846">
            <w:pPr>
              <w:keepNext/>
              <w:spacing w:after="200" w:line="276" w:lineRule="auto"/>
              <w:outlineLvl w:val="0"/>
              <w:rPr>
                <w:rFonts w:asciiTheme="minorHAnsi" w:hAnsiTheme="minorHAnsi"/>
                <w:sz w:val="20"/>
                <w:szCs w:val="20"/>
              </w:rPr>
            </w:pPr>
            <w:r w:rsidRPr="00D25846">
              <w:rPr>
                <w:rFonts w:asciiTheme="minorHAnsi" w:hAnsiTheme="minorHAnsi"/>
                <w:sz w:val="20"/>
                <w:szCs w:val="20"/>
              </w:rPr>
              <w:t>30 Apr 2013</w:t>
            </w:r>
          </w:p>
        </w:tc>
        <w:tc>
          <w:tcPr>
            <w:tcW w:w="2126" w:type="dxa"/>
            <w:vAlign w:val="center"/>
          </w:tcPr>
          <w:p w:rsidR="00D25846" w:rsidRPr="00D25846" w:rsidRDefault="00D25846" w:rsidP="00D25846">
            <w:pPr>
              <w:keepNext/>
              <w:spacing w:after="200" w:line="276" w:lineRule="auto"/>
              <w:outlineLvl w:val="0"/>
              <w:rPr>
                <w:rFonts w:asciiTheme="minorHAnsi" w:hAnsiTheme="minorHAnsi"/>
                <w:sz w:val="20"/>
                <w:szCs w:val="20"/>
              </w:rPr>
            </w:pPr>
          </w:p>
        </w:tc>
        <w:tc>
          <w:tcPr>
            <w:tcW w:w="2834" w:type="dxa"/>
            <w:vAlign w:val="center"/>
          </w:tcPr>
          <w:p w:rsidR="00D25846" w:rsidRPr="00D25846" w:rsidRDefault="00D25846" w:rsidP="00D25846">
            <w:pPr>
              <w:keepNext/>
              <w:spacing w:after="200" w:line="276" w:lineRule="auto"/>
              <w:outlineLvl w:val="0"/>
              <w:rPr>
                <w:rFonts w:asciiTheme="minorHAnsi" w:hAnsiTheme="minorHAnsi"/>
                <w:sz w:val="20"/>
                <w:szCs w:val="20"/>
              </w:rPr>
            </w:pPr>
            <w:r w:rsidRPr="00D25846">
              <w:rPr>
                <w:rFonts w:asciiTheme="minorHAnsi" w:hAnsiTheme="minorHAnsi"/>
                <w:sz w:val="20"/>
                <w:szCs w:val="20"/>
              </w:rPr>
              <w:t xml:space="preserve"> 2.1 – Measurement of outputs and environmental factors (</w:t>
            </w:r>
            <w:proofErr w:type="spellStart"/>
            <w:r w:rsidRPr="00D25846">
              <w:rPr>
                <w:rFonts w:asciiTheme="minorHAnsi" w:hAnsiTheme="minorHAnsi"/>
                <w:sz w:val="20"/>
                <w:szCs w:val="20"/>
              </w:rPr>
              <w:t>Dx</w:t>
            </w:r>
            <w:proofErr w:type="spellEnd"/>
            <w:r w:rsidRPr="00D25846">
              <w:rPr>
                <w:rFonts w:asciiTheme="minorHAnsi" w:hAnsiTheme="minorHAnsi"/>
                <w:sz w:val="20"/>
                <w:szCs w:val="20"/>
              </w:rPr>
              <w:t>)</w:t>
            </w:r>
          </w:p>
        </w:tc>
        <w:tc>
          <w:tcPr>
            <w:tcW w:w="2835" w:type="dxa"/>
            <w:vAlign w:val="center"/>
          </w:tcPr>
          <w:p w:rsidR="00D25846" w:rsidRPr="00D25846" w:rsidRDefault="00D25846" w:rsidP="00D25846">
            <w:pPr>
              <w:keepNext/>
              <w:spacing w:after="200" w:line="276" w:lineRule="auto"/>
              <w:outlineLvl w:val="0"/>
              <w:rPr>
                <w:rFonts w:asciiTheme="minorHAnsi" w:hAnsiTheme="minorHAnsi"/>
                <w:sz w:val="20"/>
                <w:szCs w:val="20"/>
              </w:rPr>
            </w:pPr>
          </w:p>
        </w:tc>
      </w:tr>
      <w:tr w:rsidR="00D25846" w:rsidTr="00D25846">
        <w:tc>
          <w:tcPr>
            <w:tcW w:w="1384" w:type="dxa"/>
            <w:vAlign w:val="center"/>
          </w:tcPr>
          <w:p w:rsidR="00D25846" w:rsidRPr="00D25846" w:rsidRDefault="00D25846" w:rsidP="00D25846">
            <w:pPr>
              <w:keepNext/>
              <w:spacing w:after="200" w:line="276" w:lineRule="auto"/>
              <w:outlineLvl w:val="0"/>
              <w:rPr>
                <w:rFonts w:asciiTheme="minorHAnsi" w:hAnsiTheme="minorHAnsi"/>
                <w:sz w:val="20"/>
                <w:szCs w:val="20"/>
              </w:rPr>
            </w:pPr>
            <w:r w:rsidRPr="00D25846">
              <w:rPr>
                <w:rFonts w:asciiTheme="minorHAnsi" w:hAnsiTheme="minorHAnsi"/>
                <w:sz w:val="20"/>
                <w:szCs w:val="20"/>
              </w:rPr>
              <w:t>2 May 2013</w:t>
            </w:r>
          </w:p>
        </w:tc>
        <w:tc>
          <w:tcPr>
            <w:tcW w:w="2126" w:type="dxa"/>
            <w:vAlign w:val="center"/>
          </w:tcPr>
          <w:p w:rsidR="00D25846" w:rsidRPr="00D25846" w:rsidRDefault="00D25846" w:rsidP="00D25846">
            <w:pPr>
              <w:keepNext/>
              <w:spacing w:after="200" w:line="276" w:lineRule="auto"/>
              <w:outlineLvl w:val="0"/>
              <w:rPr>
                <w:rFonts w:asciiTheme="minorHAnsi" w:hAnsiTheme="minorHAnsi"/>
                <w:sz w:val="20"/>
                <w:szCs w:val="20"/>
              </w:rPr>
            </w:pPr>
          </w:p>
        </w:tc>
        <w:tc>
          <w:tcPr>
            <w:tcW w:w="2834" w:type="dxa"/>
            <w:vAlign w:val="center"/>
          </w:tcPr>
          <w:p w:rsidR="00D25846" w:rsidRPr="00D25846" w:rsidRDefault="00D25846" w:rsidP="00D25846">
            <w:pPr>
              <w:keepNext/>
              <w:spacing w:after="200" w:line="276" w:lineRule="auto"/>
              <w:outlineLvl w:val="0"/>
              <w:rPr>
                <w:rFonts w:asciiTheme="minorHAnsi" w:hAnsiTheme="minorHAnsi"/>
                <w:sz w:val="20"/>
                <w:szCs w:val="20"/>
              </w:rPr>
            </w:pPr>
            <w:r w:rsidRPr="00D25846">
              <w:rPr>
                <w:rFonts w:asciiTheme="minorHAnsi" w:hAnsiTheme="minorHAnsi"/>
                <w:sz w:val="20"/>
                <w:szCs w:val="20"/>
              </w:rPr>
              <w:t xml:space="preserve"> 2.2 – Measurement of outputs and environmental factors (</w:t>
            </w:r>
            <w:proofErr w:type="spellStart"/>
            <w:r w:rsidRPr="00D25846">
              <w:rPr>
                <w:rFonts w:asciiTheme="minorHAnsi" w:hAnsiTheme="minorHAnsi"/>
                <w:sz w:val="20"/>
                <w:szCs w:val="20"/>
              </w:rPr>
              <w:t>Tx</w:t>
            </w:r>
            <w:proofErr w:type="spellEnd"/>
            <w:r w:rsidRPr="00D25846">
              <w:rPr>
                <w:rFonts w:asciiTheme="minorHAnsi" w:hAnsiTheme="minorHAnsi"/>
                <w:sz w:val="20"/>
                <w:szCs w:val="20"/>
              </w:rPr>
              <w:t>)</w:t>
            </w:r>
          </w:p>
        </w:tc>
        <w:tc>
          <w:tcPr>
            <w:tcW w:w="2835" w:type="dxa"/>
            <w:vAlign w:val="center"/>
          </w:tcPr>
          <w:p w:rsidR="00D25846" w:rsidRPr="00D25846" w:rsidRDefault="00D25846" w:rsidP="00D25846">
            <w:pPr>
              <w:keepNext/>
              <w:spacing w:after="200" w:line="276" w:lineRule="auto"/>
              <w:outlineLvl w:val="0"/>
              <w:rPr>
                <w:rFonts w:asciiTheme="minorHAnsi" w:hAnsiTheme="minorHAnsi"/>
                <w:sz w:val="20"/>
                <w:szCs w:val="20"/>
              </w:rPr>
            </w:pPr>
          </w:p>
        </w:tc>
      </w:tr>
      <w:tr w:rsidR="00D25846" w:rsidTr="00D25846">
        <w:tc>
          <w:tcPr>
            <w:tcW w:w="1384" w:type="dxa"/>
            <w:vAlign w:val="center"/>
          </w:tcPr>
          <w:p w:rsidR="00D25846" w:rsidRPr="00D25846" w:rsidRDefault="00D25846" w:rsidP="00D25846">
            <w:pPr>
              <w:keepNext/>
              <w:spacing w:after="200" w:line="276" w:lineRule="auto"/>
              <w:outlineLvl w:val="0"/>
              <w:rPr>
                <w:rFonts w:asciiTheme="minorHAnsi" w:hAnsiTheme="minorHAnsi"/>
                <w:sz w:val="20"/>
                <w:szCs w:val="20"/>
              </w:rPr>
            </w:pPr>
            <w:r w:rsidRPr="00D25846">
              <w:rPr>
                <w:rFonts w:asciiTheme="minorHAnsi" w:hAnsiTheme="minorHAnsi"/>
                <w:sz w:val="20"/>
                <w:szCs w:val="20"/>
              </w:rPr>
              <w:lastRenderedPageBreak/>
              <w:t>7 May 2013</w:t>
            </w:r>
          </w:p>
        </w:tc>
        <w:tc>
          <w:tcPr>
            <w:tcW w:w="2126" w:type="dxa"/>
            <w:vAlign w:val="center"/>
          </w:tcPr>
          <w:p w:rsidR="00D25846" w:rsidRPr="00D25846" w:rsidRDefault="00D25846" w:rsidP="00D25846">
            <w:pPr>
              <w:keepNext/>
              <w:spacing w:after="200" w:line="276" w:lineRule="auto"/>
              <w:outlineLvl w:val="0"/>
              <w:rPr>
                <w:rFonts w:asciiTheme="minorHAnsi" w:hAnsiTheme="minorHAnsi"/>
                <w:sz w:val="20"/>
                <w:szCs w:val="20"/>
              </w:rPr>
            </w:pPr>
          </w:p>
        </w:tc>
        <w:tc>
          <w:tcPr>
            <w:tcW w:w="2834" w:type="dxa"/>
            <w:vAlign w:val="center"/>
          </w:tcPr>
          <w:p w:rsidR="00D25846" w:rsidRPr="00D25846" w:rsidRDefault="00D25846" w:rsidP="00D25846">
            <w:pPr>
              <w:keepNext/>
              <w:spacing w:after="200" w:line="276" w:lineRule="auto"/>
              <w:outlineLvl w:val="0"/>
              <w:rPr>
                <w:rFonts w:asciiTheme="minorHAnsi" w:hAnsiTheme="minorHAnsi"/>
                <w:sz w:val="20"/>
                <w:szCs w:val="20"/>
              </w:rPr>
            </w:pPr>
            <w:r w:rsidRPr="00D25846">
              <w:rPr>
                <w:rFonts w:asciiTheme="minorHAnsi" w:hAnsiTheme="minorHAnsi"/>
                <w:sz w:val="20"/>
                <w:szCs w:val="20"/>
              </w:rPr>
              <w:t xml:space="preserve"> 2.3 (morning) – Network input measurement</w:t>
            </w:r>
          </w:p>
        </w:tc>
        <w:tc>
          <w:tcPr>
            <w:tcW w:w="2835" w:type="dxa"/>
            <w:vAlign w:val="center"/>
          </w:tcPr>
          <w:p w:rsidR="00D25846" w:rsidRPr="00D25846" w:rsidRDefault="00D25846" w:rsidP="00D25846">
            <w:pPr>
              <w:keepNext/>
              <w:spacing w:after="200" w:line="276" w:lineRule="auto"/>
              <w:outlineLvl w:val="0"/>
              <w:rPr>
                <w:rFonts w:asciiTheme="minorHAnsi" w:hAnsiTheme="minorHAnsi"/>
                <w:sz w:val="20"/>
                <w:szCs w:val="20"/>
              </w:rPr>
            </w:pPr>
            <w:r w:rsidRPr="00D25846">
              <w:rPr>
                <w:rFonts w:asciiTheme="minorHAnsi" w:hAnsiTheme="minorHAnsi"/>
                <w:sz w:val="20"/>
                <w:szCs w:val="20"/>
              </w:rPr>
              <w:t xml:space="preserve"> 3.2 (afternoon) – statutory accounting issues, cost allocation, capitalisation policies and reporting</w:t>
            </w:r>
          </w:p>
        </w:tc>
      </w:tr>
      <w:tr w:rsidR="00D25846" w:rsidTr="00D25846">
        <w:tc>
          <w:tcPr>
            <w:tcW w:w="1384" w:type="dxa"/>
            <w:vAlign w:val="center"/>
          </w:tcPr>
          <w:p w:rsidR="00D25846" w:rsidRPr="00D25846" w:rsidRDefault="00D25846" w:rsidP="00D25846">
            <w:pPr>
              <w:keepNext/>
              <w:spacing w:after="200" w:line="276" w:lineRule="auto"/>
              <w:outlineLvl w:val="0"/>
              <w:rPr>
                <w:rFonts w:asciiTheme="minorHAnsi" w:hAnsiTheme="minorHAnsi"/>
                <w:sz w:val="20"/>
                <w:szCs w:val="20"/>
              </w:rPr>
            </w:pPr>
            <w:r w:rsidRPr="00D25846">
              <w:rPr>
                <w:rFonts w:asciiTheme="minorHAnsi" w:hAnsiTheme="minorHAnsi"/>
                <w:sz w:val="20"/>
                <w:szCs w:val="20"/>
              </w:rPr>
              <w:t>16 May 2013</w:t>
            </w:r>
          </w:p>
        </w:tc>
        <w:tc>
          <w:tcPr>
            <w:tcW w:w="2126" w:type="dxa"/>
            <w:vAlign w:val="center"/>
          </w:tcPr>
          <w:p w:rsidR="00D25846" w:rsidRPr="00D25846" w:rsidRDefault="00D25846" w:rsidP="00D25846">
            <w:pPr>
              <w:keepNext/>
              <w:spacing w:after="200" w:line="276" w:lineRule="auto"/>
              <w:outlineLvl w:val="0"/>
              <w:rPr>
                <w:rFonts w:asciiTheme="minorHAnsi" w:hAnsiTheme="minorHAnsi"/>
                <w:sz w:val="20"/>
                <w:szCs w:val="20"/>
              </w:rPr>
            </w:pPr>
          </w:p>
        </w:tc>
        <w:tc>
          <w:tcPr>
            <w:tcW w:w="2834" w:type="dxa"/>
            <w:vAlign w:val="center"/>
          </w:tcPr>
          <w:p w:rsidR="00D25846" w:rsidRPr="00D25846" w:rsidRDefault="00D25846" w:rsidP="00D25846">
            <w:pPr>
              <w:keepNext/>
              <w:spacing w:after="200" w:line="276" w:lineRule="auto"/>
              <w:outlineLvl w:val="0"/>
              <w:rPr>
                <w:rFonts w:asciiTheme="minorHAnsi" w:hAnsiTheme="minorHAnsi"/>
                <w:sz w:val="20"/>
                <w:szCs w:val="20"/>
              </w:rPr>
            </w:pPr>
          </w:p>
        </w:tc>
        <w:tc>
          <w:tcPr>
            <w:tcW w:w="2835" w:type="dxa"/>
            <w:vAlign w:val="center"/>
          </w:tcPr>
          <w:p w:rsidR="00D25846" w:rsidRPr="00D25846" w:rsidRDefault="00D25846" w:rsidP="00D25846">
            <w:pPr>
              <w:keepNext/>
              <w:spacing w:after="200" w:line="276" w:lineRule="auto"/>
              <w:outlineLvl w:val="0"/>
              <w:rPr>
                <w:rFonts w:asciiTheme="minorHAnsi" w:hAnsiTheme="minorHAnsi"/>
                <w:sz w:val="20"/>
                <w:szCs w:val="20"/>
              </w:rPr>
            </w:pPr>
            <w:r w:rsidRPr="00D25846">
              <w:rPr>
                <w:rFonts w:asciiTheme="minorHAnsi" w:hAnsiTheme="minorHAnsi"/>
                <w:sz w:val="20"/>
                <w:szCs w:val="20"/>
              </w:rPr>
              <w:t xml:space="preserve">  4.1 – </w:t>
            </w:r>
            <w:proofErr w:type="spellStart"/>
            <w:r w:rsidRPr="00D25846">
              <w:rPr>
                <w:rFonts w:asciiTheme="minorHAnsi" w:hAnsiTheme="minorHAnsi"/>
                <w:sz w:val="20"/>
                <w:szCs w:val="20"/>
              </w:rPr>
              <w:t>repex</w:t>
            </w:r>
            <w:proofErr w:type="spellEnd"/>
            <w:r w:rsidRPr="00D25846">
              <w:rPr>
                <w:rFonts w:asciiTheme="minorHAnsi" w:hAnsiTheme="minorHAnsi"/>
                <w:sz w:val="20"/>
                <w:szCs w:val="20"/>
              </w:rPr>
              <w:t xml:space="preserve"> model, </w:t>
            </w:r>
            <w:proofErr w:type="spellStart"/>
            <w:r w:rsidRPr="00D25846">
              <w:rPr>
                <w:rFonts w:asciiTheme="minorHAnsi" w:hAnsiTheme="minorHAnsi"/>
                <w:sz w:val="20"/>
                <w:szCs w:val="20"/>
              </w:rPr>
              <w:t>augex</w:t>
            </w:r>
            <w:proofErr w:type="spellEnd"/>
            <w:r w:rsidRPr="00D25846">
              <w:rPr>
                <w:rFonts w:asciiTheme="minorHAnsi" w:hAnsiTheme="minorHAnsi"/>
                <w:sz w:val="20"/>
                <w:szCs w:val="20"/>
              </w:rPr>
              <w:t xml:space="preserve"> model, demand forecasting</w:t>
            </w:r>
          </w:p>
        </w:tc>
      </w:tr>
      <w:tr w:rsidR="00D25846" w:rsidTr="00D25846">
        <w:tc>
          <w:tcPr>
            <w:tcW w:w="1384" w:type="dxa"/>
            <w:vAlign w:val="center"/>
          </w:tcPr>
          <w:p w:rsidR="00D25846" w:rsidRPr="00D25846" w:rsidRDefault="00D25846" w:rsidP="00D25846">
            <w:pPr>
              <w:keepNext/>
              <w:spacing w:after="200" w:line="276" w:lineRule="auto"/>
              <w:outlineLvl w:val="0"/>
              <w:rPr>
                <w:rFonts w:asciiTheme="minorHAnsi" w:hAnsiTheme="minorHAnsi"/>
                <w:sz w:val="20"/>
                <w:szCs w:val="20"/>
              </w:rPr>
            </w:pPr>
            <w:r w:rsidRPr="00D25846">
              <w:rPr>
                <w:rFonts w:asciiTheme="minorHAnsi" w:hAnsiTheme="minorHAnsi"/>
                <w:sz w:val="20"/>
                <w:szCs w:val="20"/>
              </w:rPr>
              <w:t>23 May 2013</w:t>
            </w:r>
          </w:p>
        </w:tc>
        <w:tc>
          <w:tcPr>
            <w:tcW w:w="2126" w:type="dxa"/>
            <w:vAlign w:val="center"/>
          </w:tcPr>
          <w:p w:rsidR="00D25846" w:rsidRPr="00D25846" w:rsidRDefault="00D25846" w:rsidP="00D25846">
            <w:pPr>
              <w:keepNext/>
              <w:spacing w:after="200" w:line="276" w:lineRule="auto"/>
              <w:outlineLvl w:val="0"/>
              <w:rPr>
                <w:rFonts w:asciiTheme="minorHAnsi" w:hAnsiTheme="minorHAnsi"/>
                <w:sz w:val="20"/>
                <w:szCs w:val="20"/>
              </w:rPr>
            </w:pPr>
          </w:p>
        </w:tc>
        <w:tc>
          <w:tcPr>
            <w:tcW w:w="2834" w:type="dxa"/>
            <w:vAlign w:val="center"/>
          </w:tcPr>
          <w:p w:rsidR="00D25846" w:rsidRPr="00D25846" w:rsidRDefault="00D25846" w:rsidP="00D25846">
            <w:pPr>
              <w:keepNext/>
              <w:spacing w:after="200" w:line="276" w:lineRule="auto"/>
              <w:outlineLvl w:val="0"/>
              <w:rPr>
                <w:rFonts w:asciiTheme="minorHAnsi" w:hAnsiTheme="minorHAnsi"/>
                <w:sz w:val="20"/>
                <w:szCs w:val="20"/>
              </w:rPr>
            </w:pPr>
            <w:r w:rsidRPr="00D25846">
              <w:rPr>
                <w:rFonts w:asciiTheme="minorHAnsi" w:hAnsiTheme="minorHAnsi"/>
                <w:sz w:val="20"/>
                <w:szCs w:val="20"/>
              </w:rPr>
              <w:t xml:space="preserve"> 3.1 – Prescription in the EFA guideline</w:t>
            </w:r>
          </w:p>
        </w:tc>
        <w:tc>
          <w:tcPr>
            <w:tcW w:w="2835" w:type="dxa"/>
            <w:vAlign w:val="center"/>
          </w:tcPr>
          <w:p w:rsidR="00D25846" w:rsidRPr="00D25846" w:rsidRDefault="00D25846" w:rsidP="00D25846">
            <w:pPr>
              <w:keepNext/>
              <w:spacing w:after="200" w:line="276" w:lineRule="auto"/>
              <w:outlineLvl w:val="0"/>
              <w:rPr>
                <w:rFonts w:asciiTheme="minorHAnsi" w:hAnsiTheme="minorHAnsi"/>
                <w:sz w:val="20"/>
                <w:szCs w:val="20"/>
              </w:rPr>
            </w:pPr>
          </w:p>
        </w:tc>
      </w:tr>
      <w:tr w:rsidR="00D25846" w:rsidTr="00D25846">
        <w:tc>
          <w:tcPr>
            <w:tcW w:w="1384" w:type="dxa"/>
            <w:vAlign w:val="center"/>
          </w:tcPr>
          <w:p w:rsidR="00D25846" w:rsidRPr="00D25846" w:rsidRDefault="004A2DEE" w:rsidP="00D25846">
            <w:pPr>
              <w:keepNext/>
              <w:spacing w:after="200" w:line="276" w:lineRule="auto"/>
              <w:outlineLvl w:val="0"/>
              <w:rPr>
                <w:rFonts w:asciiTheme="minorHAnsi" w:hAnsiTheme="minorHAnsi"/>
                <w:sz w:val="20"/>
                <w:szCs w:val="20"/>
              </w:rPr>
            </w:pPr>
            <w:r>
              <w:rPr>
                <w:rFonts w:asciiTheme="minorHAnsi" w:hAnsiTheme="minorHAnsi"/>
                <w:sz w:val="20"/>
                <w:szCs w:val="20"/>
              </w:rPr>
              <w:t>28</w:t>
            </w:r>
            <w:r w:rsidR="00D25846" w:rsidRPr="00D25846">
              <w:rPr>
                <w:rFonts w:asciiTheme="minorHAnsi" w:hAnsiTheme="minorHAnsi"/>
                <w:sz w:val="20"/>
                <w:szCs w:val="20"/>
              </w:rPr>
              <w:t xml:space="preserve"> May 2013</w:t>
            </w:r>
          </w:p>
        </w:tc>
        <w:tc>
          <w:tcPr>
            <w:tcW w:w="2126" w:type="dxa"/>
            <w:vAlign w:val="center"/>
          </w:tcPr>
          <w:p w:rsidR="00D25846" w:rsidRPr="00D25846" w:rsidRDefault="00D25846" w:rsidP="00D25846">
            <w:pPr>
              <w:keepNext/>
              <w:spacing w:after="200" w:line="276" w:lineRule="auto"/>
              <w:outlineLvl w:val="0"/>
              <w:rPr>
                <w:rFonts w:asciiTheme="minorHAnsi" w:hAnsiTheme="minorHAnsi"/>
                <w:sz w:val="20"/>
                <w:szCs w:val="20"/>
              </w:rPr>
            </w:pPr>
            <w:r w:rsidRPr="00D25846">
              <w:rPr>
                <w:rFonts w:asciiTheme="minorHAnsi" w:hAnsiTheme="minorHAnsi"/>
                <w:sz w:val="20"/>
                <w:szCs w:val="20"/>
              </w:rPr>
              <w:t>General issues workshop – RIN/RIO implications, first pass assessment, links with other guidelines, reconciliation of assessment methods</w:t>
            </w:r>
          </w:p>
        </w:tc>
        <w:tc>
          <w:tcPr>
            <w:tcW w:w="2834" w:type="dxa"/>
            <w:vAlign w:val="center"/>
          </w:tcPr>
          <w:p w:rsidR="00D25846" w:rsidRPr="00D25846" w:rsidRDefault="00D25846" w:rsidP="00D25846">
            <w:pPr>
              <w:keepNext/>
              <w:spacing w:after="200" w:line="276" w:lineRule="auto"/>
              <w:outlineLvl w:val="0"/>
              <w:rPr>
                <w:rFonts w:asciiTheme="minorHAnsi" w:hAnsiTheme="minorHAnsi"/>
                <w:sz w:val="20"/>
                <w:szCs w:val="20"/>
              </w:rPr>
            </w:pPr>
          </w:p>
        </w:tc>
        <w:tc>
          <w:tcPr>
            <w:tcW w:w="2835" w:type="dxa"/>
            <w:vAlign w:val="center"/>
          </w:tcPr>
          <w:p w:rsidR="00D25846" w:rsidRPr="00D25846" w:rsidRDefault="00D25846" w:rsidP="00D25846">
            <w:pPr>
              <w:keepNext/>
              <w:spacing w:after="200" w:line="276" w:lineRule="auto"/>
              <w:outlineLvl w:val="0"/>
              <w:rPr>
                <w:rFonts w:asciiTheme="minorHAnsi" w:hAnsiTheme="minorHAnsi"/>
                <w:sz w:val="20"/>
                <w:szCs w:val="20"/>
              </w:rPr>
            </w:pPr>
          </w:p>
        </w:tc>
      </w:tr>
      <w:tr w:rsidR="00D25846" w:rsidTr="00D25846">
        <w:tc>
          <w:tcPr>
            <w:tcW w:w="1384" w:type="dxa"/>
            <w:vAlign w:val="center"/>
          </w:tcPr>
          <w:p w:rsidR="00D25846" w:rsidRPr="00D25846" w:rsidRDefault="00D25846" w:rsidP="00D25846">
            <w:pPr>
              <w:keepNext/>
              <w:spacing w:after="200" w:line="276" w:lineRule="auto"/>
              <w:outlineLvl w:val="0"/>
              <w:rPr>
                <w:rFonts w:asciiTheme="minorHAnsi" w:hAnsiTheme="minorHAnsi"/>
                <w:sz w:val="20"/>
                <w:szCs w:val="20"/>
              </w:rPr>
            </w:pPr>
            <w:r w:rsidRPr="00D25846">
              <w:rPr>
                <w:rFonts w:asciiTheme="minorHAnsi" w:hAnsiTheme="minorHAnsi"/>
                <w:sz w:val="20"/>
                <w:szCs w:val="20"/>
              </w:rPr>
              <w:t>9 Aug 2013</w:t>
            </w:r>
          </w:p>
        </w:tc>
        <w:tc>
          <w:tcPr>
            <w:tcW w:w="2126" w:type="dxa"/>
            <w:vAlign w:val="center"/>
          </w:tcPr>
          <w:p w:rsidR="00D25846" w:rsidRPr="00D25846" w:rsidRDefault="00D25846" w:rsidP="00D25846">
            <w:pPr>
              <w:keepNext/>
              <w:spacing w:after="200" w:line="276" w:lineRule="auto"/>
              <w:outlineLvl w:val="0"/>
              <w:rPr>
                <w:rFonts w:asciiTheme="minorHAnsi" w:hAnsiTheme="minorHAnsi"/>
                <w:sz w:val="20"/>
                <w:szCs w:val="20"/>
              </w:rPr>
            </w:pPr>
            <w:r w:rsidRPr="00D25846">
              <w:rPr>
                <w:rFonts w:asciiTheme="minorHAnsi" w:hAnsiTheme="minorHAnsi"/>
                <w:sz w:val="20"/>
                <w:szCs w:val="20"/>
              </w:rPr>
              <w:t>Publish draft guides</w:t>
            </w:r>
          </w:p>
        </w:tc>
        <w:tc>
          <w:tcPr>
            <w:tcW w:w="2834" w:type="dxa"/>
            <w:vAlign w:val="center"/>
          </w:tcPr>
          <w:p w:rsidR="00D25846" w:rsidRPr="00D25846" w:rsidRDefault="00D25846" w:rsidP="00D25846">
            <w:pPr>
              <w:keepNext/>
              <w:spacing w:after="200" w:line="276" w:lineRule="auto"/>
              <w:outlineLvl w:val="0"/>
              <w:rPr>
                <w:rFonts w:asciiTheme="minorHAnsi" w:hAnsiTheme="minorHAnsi"/>
                <w:sz w:val="20"/>
                <w:szCs w:val="20"/>
              </w:rPr>
            </w:pPr>
          </w:p>
        </w:tc>
        <w:tc>
          <w:tcPr>
            <w:tcW w:w="2835" w:type="dxa"/>
            <w:vAlign w:val="center"/>
          </w:tcPr>
          <w:p w:rsidR="00D25846" w:rsidRPr="00D25846" w:rsidRDefault="00D25846" w:rsidP="00D25846">
            <w:pPr>
              <w:keepNext/>
              <w:spacing w:after="200" w:line="276" w:lineRule="auto"/>
              <w:outlineLvl w:val="0"/>
              <w:rPr>
                <w:rFonts w:asciiTheme="minorHAnsi" w:hAnsiTheme="minorHAnsi"/>
                <w:sz w:val="20"/>
                <w:szCs w:val="20"/>
              </w:rPr>
            </w:pPr>
          </w:p>
        </w:tc>
      </w:tr>
    </w:tbl>
    <w:p w:rsidR="001758CC" w:rsidRPr="007D144F" w:rsidRDefault="001758CC" w:rsidP="007D144F">
      <w:pPr>
        <w:keepNext/>
        <w:spacing w:after="200" w:line="276" w:lineRule="auto"/>
        <w:outlineLvl w:val="0"/>
        <w:rPr>
          <w:b/>
          <w:color w:val="000000" w:themeColor="text1"/>
        </w:rPr>
      </w:pPr>
    </w:p>
    <w:sectPr w:rsidR="001758CC" w:rsidRPr="007D144F" w:rsidSect="00CC5037">
      <w:footerReference w:type="default" r:id="rId10"/>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7693" w:rsidRDefault="003F7693" w:rsidP="0055137C">
      <w:r>
        <w:separator/>
      </w:r>
    </w:p>
  </w:endnote>
  <w:endnote w:type="continuationSeparator" w:id="0">
    <w:p w:rsidR="003F7693" w:rsidRDefault="003F7693" w:rsidP="0055137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Gautami">
    <w:panose1 w:val="02000500000000000000"/>
    <w:charset w:val="00"/>
    <w:family w:val="auto"/>
    <w:pitch w:val="variable"/>
    <w:sig w:usb0="002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5846" w:rsidRDefault="002C3D2E">
    <w:pPr>
      <w:pStyle w:val="Footer"/>
      <w:jc w:val="right"/>
    </w:pPr>
    <w:r>
      <w:fldChar w:fldCharType="begin"/>
    </w:r>
    <w:r w:rsidR="00D25846">
      <w:instrText xml:space="preserve"> PAGE   \* MERGEFORMAT </w:instrText>
    </w:r>
    <w:r>
      <w:fldChar w:fldCharType="separate"/>
    </w:r>
    <w:r w:rsidR="00FC601E">
      <w:rPr>
        <w:noProof/>
      </w:rPr>
      <w:t>1</w:t>
    </w:r>
    <w:r>
      <w:fldChar w:fldCharType="end"/>
    </w:r>
  </w:p>
  <w:p w:rsidR="00D25846" w:rsidRDefault="00D2584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7693" w:rsidRDefault="002C3D2E">
    <w:pPr>
      <w:pStyle w:val="Footer"/>
      <w:jc w:val="right"/>
    </w:pPr>
    <w:fldSimple w:instr=" PAGE   \* MERGEFORMAT ">
      <w:r w:rsidR="00FC601E">
        <w:rPr>
          <w:noProof/>
        </w:rPr>
        <w:t>8</w:t>
      </w:r>
    </w:fldSimple>
  </w:p>
  <w:p w:rsidR="003F7693" w:rsidRDefault="003F769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7693" w:rsidRDefault="003F7693" w:rsidP="0055137C">
      <w:r>
        <w:separator/>
      </w:r>
    </w:p>
  </w:footnote>
  <w:footnote w:type="continuationSeparator" w:id="0">
    <w:p w:rsidR="003F7693" w:rsidRDefault="003F7693" w:rsidP="0055137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34BCB"/>
    <w:multiLevelType w:val="hybridMultilevel"/>
    <w:tmpl w:val="F6EECB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
    <w:nsid w:val="18663A9B"/>
    <w:multiLevelType w:val="hybridMultilevel"/>
    <w:tmpl w:val="292E2D6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2A89761B"/>
    <w:multiLevelType w:val="hybridMultilevel"/>
    <w:tmpl w:val="DBD61B3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9796DC02">
      <w:start w:val="5"/>
      <w:numFmt w:val="bullet"/>
      <w:lvlText w:val="-"/>
      <w:lvlJc w:val="left"/>
      <w:pPr>
        <w:ind w:left="1800" w:hanging="360"/>
      </w:pPr>
      <w:rPr>
        <w:rFonts w:ascii="Calibri" w:eastAsia="Calibri" w:hAnsi="Calibri" w:cs="Times New Roman"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nsid w:val="2B2B3C16"/>
    <w:multiLevelType w:val="hybridMultilevel"/>
    <w:tmpl w:val="9D540C5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3402682F"/>
    <w:multiLevelType w:val="hybridMultilevel"/>
    <w:tmpl w:val="34528F8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5">
    <w:nsid w:val="35303DC1"/>
    <w:multiLevelType w:val="hybridMultilevel"/>
    <w:tmpl w:val="C598F2F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nsid w:val="37062C48"/>
    <w:multiLevelType w:val="hybridMultilevel"/>
    <w:tmpl w:val="1D942D96"/>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3C9D017C"/>
    <w:multiLevelType w:val="hybridMultilevel"/>
    <w:tmpl w:val="9D540C5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44617932"/>
    <w:multiLevelType w:val="hybridMultilevel"/>
    <w:tmpl w:val="F81AB1CA"/>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tabs>
          <w:tab w:val="num" w:pos="1440"/>
        </w:tabs>
        <w:ind w:left="1440" w:hanging="360"/>
      </w:pPr>
      <w:rPr>
        <w:rFonts w:ascii="Symbol" w:hAnsi="Symbol" w:hint="default"/>
      </w:r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9">
    <w:nsid w:val="450A4333"/>
    <w:multiLevelType w:val="hybridMultilevel"/>
    <w:tmpl w:val="5B3EE2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48E30009"/>
    <w:multiLevelType w:val="hybridMultilevel"/>
    <w:tmpl w:val="084E060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nsid w:val="4EBB167D"/>
    <w:multiLevelType w:val="hybridMultilevel"/>
    <w:tmpl w:val="FF9ED40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58782C39"/>
    <w:multiLevelType w:val="hybridMultilevel"/>
    <w:tmpl w:val="779031F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3">
    <w:nsid w:val="5F7D011B"/>
    <w:multiLevelType w:val="hybridMultilevel"/>
    <w:tmpl w:val="1420859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nsid w:val="6A656008"/>
    <w:multiLevelType w:val="hybridMultilevel"/>
    <w:tmpl w:val="BE8A4F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2"/>
  </w:num>
  <w:num w:numId="7">
    <w:abstractNumId w:val="1"/>
  </w:num>
  <w:num w:numId="8">
    <w:abstractNumId w:val="10"/>
  </w:num>
  <w:num w:numId="9">
    <w:abstractNumId w:val="11"/>
  </w:num>
  <w:num w:numId="10">
    <w:abstractNumId w:val="14"/>
  </w:num>
  <w:num w:numId="11">
    <w:abstractNumId w:val="3"/>
  </w:num>
  <w:num w:numId="12">
    <w:abstractNumId w:val="9"/>
  </w:num>
  <w:num w:numId="13">
    <w:abstractNumId w:val="6"/>
  </w:num>
  <w:num w:numId="14">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5"/>
  </w:num>
  <w:num w:numId="17">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trackRevisions/>
  <w:doNotTrackMoves/>
  <w:defaultTabStop w:val="720"/>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currentname" w:val="C:\Documents and Settings\lirla\Local Settings\Temporary Internet Files\Content.MSO\D2EAEE16.docx"/>
  </w:docVars>
  <w:rsids>
    <w:rsidRoot w:val="004B1DF3"/>
    <w:rsid w:val="0000131F"/>
    <w:rsid w:val="0000218E"/>
    <w:rsid w:val="00002D84"/>
    <w:rsid w:val="0001258B"/>
    <w:rsid w:val="000266E1"/>
    <w:rsid w:val="000276CD"/>
    <w:rsid w:val="000413DD"/>
    <w:rsid w:val="000427D6"/>
    <w:rsid w:val="00045C36"/>
    <w:rsid w:val="000466C6"/>
    <w:rsid w:val="00054DC6"/>
    <w:rsid w:val="0006394B"/>
    <w:rsid w:val="00073E07"/>
    <w:rsid w:val="0007579F"/>
    <w:rsid w:val="00086A9B"/>
    <w:rsid w:val="00095DE4"/>
    <w:rsid w:val="000A030B"/>
    <w:rsid w:val="000C5EF5"/>
    <w:rsid w:val="000C7891"/>
    <w:rsid w:val="000D068A"/>
    <w:rsid w:val="000D0E04"/>
    <w:rsid w:val="000D1219"/>
    <w:rsid w:val="000E365F"/>
    <w:rsid w:val="000F0AC4"/>
    <w:rsid w:val="000F1966"/>
    <w:rsid w:val="00106732"/>
    <w:rsid w:val="00106DE4"/>
    <w:rsid w:val="00111B8C"/>
    <w:rsid w:val="00112778"/>
    <w:rsid w:val="00113FF6"/>
    <w:rsid w:val="00114B7F"/>
    <w:rsid w:val="00125D47"/>
    <w:rsid w:val="00136E4D"/>
    <w:rsid w:val="00141230"/>
    <w:rsid w:val="0014186D"/>
    <w:rsid w:val="0014474A"/>
    <w:rsid w:val="001549E1"/>
    <w:rsid w:val="00156C71"/>
    <w:rsid w:val="0017231C"/>
    <w:rsid w:val="001758CC"/>
    <w:rsid w:val="00191C76"/>
    <w:rsid w:val="001A1D8A"/>
    <w:rsid w:val="001A22A7"/>
    <w:rsid w:val="001B7630"/>
    <w:rsid w:val="001D3F30"/>
    <w:rsid w:val="001D7E18"/>
    <w:rsid w:val="001E65AD"/>
    <w:rsid w:val="001F40B6"/>
    <w:rsid w:val="002105F0"/>
    <w:rsid w:val="00215716"/>
    <w:rsid w:val="002179FF"/>
    <w:rsid w:val="00227D1B"/>
    <w:rsid w:val="002322EF"/>
    <w:rsid w:val="002340CF"/>
    <w:rsid w:val="00234945"/>
    <w:rsid w:val="00243BAE"/>
    <w:rsid w:val="00252DD0"/>
    <w:rsid w:val="0026600C"/>
    <w:rsid w:val="00272254"/>
    <w:rsid w:val="00274A03"/>
    <w:rsid w:val="0027599F"/>
    <w:rsid w:val="00285587"/>
    <w:rsid w:val="00286E60"/>
    <w:rsid w:val="00291494"/>
    <w:rsid w:val="002944FD"/>
    <w:rsid w:val="002A2778"/>
    <w:rsid w:val="002B3CB2"/>
    <w:rsid w:val="002C3D2E"/>
    <w:rsid w:val="002D5CEB"/>
    <w:rsid w:val="002D77A8"/>
    <w:rsid w:val="002E1FB5"/>
    <w:rsid w:val="002E363B"/>
    <w:rsid w:val="002E68C1"/>
    <w:rsid w:val="002F6CC7"/>
    <w:rsid w:val="002F6D8F"/>
    <w:rsid w:val="003028FA"/>
    <w:rsid w:val="0031702E"/>
    <w:rsid w:val="0032112B"/>
    <w:rsid w:val="003262CD"/>
    <w:rsid w:val="0034648C"/>
    <w:rsid w:val="0035376C"/>
    <w:rsid w:val="00367584"/>
    <w:rsid w:val="003843C9"/>
    <w:rsid w:val="00392656"/>
    <w:rsid w:val="00397373"/>
    <w:rsid w:val="003A0DB5"/>
    <w:rsid w:val="003A744A"/>
    <w:rsid w:val="003B7A7A"/>
    <w:rsid w:val="003C2A2F"/>
    <w:rsid w:val="003C7250"/>
    <w:rsid w:val="003E464A"/>
    <w:rsid w:val="003F3D5C"/>
    <w:rsid w:val="003F718A"/>
    <w:rsid w:val="003F7693"/>
    <w:rsid w:val="00402418"/>
    <w:rsid w:val="00413060"/>
    <w:rsid w:val="00414601"/>
    <w:rsid w:val="00417B81"/>
    <w:rsid w:val="00417E1E"/>
    <w:rsid w:val="00421439"/>
    <w:rsid w:val="004226D4"/>
    <w:rsid w:val="00434E8D"/>
    <w:rsid w:val="00436514"/>
    <w:rsid w:val="00440EF8"/>
    <w:rsid w:val="00441411"/>
    <w:rsid w:val="00443BA3"/>
    <w:rsid w:val="004443F3"/>
    <w:rsid w:val="00446071"/>
    <w:rsid w:val="00447395"/>
    <w:rsid w:val="004607D1"/>
    <w:rsid w:val="00467EEB"/>
    <w:rsid w:val="00482A16"/>
    <w:rsid w:val="00483905"/>
    <w:rsid w:val="00491828"/>
    <w:rsid w:val="004A1BFD"/>
    <w:rsid w:val="004A2DEE"/>
    <w:rsid w:val="004A525C"/>
    <w:rsid w:val="004A58D5"/>
    <w:rsid w:val="004A700C"/>
    <w:rsid w:val="004B1DF3"/>
    <w:rsid w:val="004B4153"/>
    <w:rsid w:val="004C3C91"/>
    <w:rsid w:val="004D31C1"/>
    <w:rsid w:val="004D7C18"/>
    <w:rsid w:val="004E0188"/>
    <w:rsid w:val="004E1CFA"/>
    <w:rsid w:val="00502EA4"/>
    <w:rsid w:val="00503397"/>
    <w:rsid w:val="005056E3"/>
    <w:rsid w:val="00513049"/>
    <w:rsid w:val="0051305A"/>
    <w:rsid w:val="0052187E"/>
    <w:rsid w:val="00530117"/>
    <w:rsid w:val="00534DAD"/>
    <w:rsid w:val="00537BDB"/>
    <w:rsid w:val="00541D35"/>
    <w:rsid w:val="00542375"/>
    <w:rsid w:val="0054466F"/>
    <w:rsid w:val="005501D9"/>
    <w:rsid w:val="0055137C"/>
    <w:rsid w:val="0056624D"/>
    <w:rsid w:val="00577A91"/>
    <w:rsid w:val="00580C7F"/>
    <w:rsid w:val="00583B3E"/>
    <w:rsid w:val="0059123F"/>
    <w:rsid w:val="00591B03"/>
    <w:rsid w:val="0059555C"/>
    <w:rsid w:val="005A345B"/>
    <w:rsid w:val="005A3C45"/>
    <w:rsid w:val="005B383D"/>
    <w:rsid w:val="005B4FB6"/>
    <w:rsid w:val="005C48B3"/>
    <w:rsid w:val="005C6E89"/>
    <w:rsid w:val="005D3D14"/>
    <w:rsid w:val="005D531B"/>
    <w:rsid w:val="005E0C18"/>
    <w:rsid w:val="005E4EF2"/>
    <w:rsid w:val="005F5B3C"/>
    <w:rsid w:val="00612B6A"/>
    <w:rsid w:val="00613FEF"/>
    <w:rsid w:val="006162DD"/>
    <w:rsid w:val="00633D82"/>
    <w:rsid w:val="00636E2A"/>
    <w:rsid w:val="00644F5A"/>
    <w:rsid w:val="00647432"/>
    <w:rsid w:val="0065208F"/>
    <w:rsid w:val="00652192"/>
    <w:rsid w:val="00654231"/>
    <w:rsid w:val="00656EB2"/>
    <w:rsid w:val="00660071"/>
    <w:rsid w:val="006643E2"/>
    <w:rsid w:val="00667C4B"/>
    <w:rsid w:val="00671954"/>
    <w:rsid w:val="00675A58"/>
    <w:rsid w:val="006769E4"/>
    <w:rsid w:val="0067772D"/>
    <w:rsid w:val="00680295"/>
    <w:rsid w:val="0068087A"/>
    <w:rsid w:val="00680B33"/>
    <w:rsid w:val="00684162"/>
    <w:rsid w:val="00690D95"/>
    <w:rsid w:val="00691A55"/>
    <w:rsid w:val="00697E33"/>
    <w:rsid w:val="006A3090"/>
    <w:rsid w:val="006B5D5C"/>
    <w:rsid w:val="006D7ADF"/>
    <w:rsid w:val="006E1D2B"/>
    <w:rsid w:val="006E4CD7"/>
    <w:rsid w:val="006E5102"/>
    <w:rsid w:val="006F36B0"/>
    <w:rsid w:val="006F6D85"/>
    <w:rsid w:val="007013C2"/>
    <w:rsid w:val="00701D94"/>
    <w:rsid w:val="007074A1"/>
    <w:rsid w:val="00720A38"/>
    <w:rsid w:val="00726258"/>
    <w:rsid w:val="007270ED"/>
    <w:rsid w:val="007316ED"/>
    <w:rsid w:val="00732B8C"/>
    <w:rsid w:val="00737CAA"/>
    <w:rsid w:val="00737CFE"/>
    <w:rsid w:val="00740F5D"/>
    <w:rsid w:val="00747928"/>
    <w:rsid w:val="0075411B"/>
    <w:rsid w:val="00760248"/>
    <w:rsid w:val="007644E3"/>
    <w:rsid w:val="00770C25"/>
    <w:rsid w:val="0077148E"/>
    <w:rsid w:val="00775508"/>
    <w:rsid w:val="00777F64"/>
    <w:rsid w:val="00780A12"/>
    <w:rsid w:val="00780DCF"/>
    <w:rsid w:val="00781CA6"/>
    <w:rsid w:val="00790939"/>
    <w:rsid w:val="00797C1D"/>
    <w:rsid w:val="007A3EB9"/>
    <w:rsid w:val="007C1D28"/>
    <w:rsid w:val="007C1FA3"/>
    <w:rsid w:val="007D1109"/>
    <w:rsid w:val="007D144F"/>
    <w:rsid w:val="007D1DB7"/>
    <w:rsid w:val="007D3E08"/>
    <w:rsid w:val="007E63C7"/>
    <w:rsid w:val="007F690C"/>
    <w:rsid w:val="008026E3"/>
    <w:rsid w:val="00811AD7"/>
    <w:rsid w:val="00815AF3"/>
    <w:rsid w:val="0082603C"/>
    <w:rsid w:val="008314D3"/>
    <w:rsid w:val="0083169E"/>
    <w:rsid w:val="00842856"/>
    <w:rsid w:val="00843213"/>
    <w:rsid w:val="008550F9"/>
    <w:rsid w:val="008672C4"/>
    <w:rsid w:val="00872EB7"/>
    <w:rsid w:val="00874084"/>
    <w:rsid w:val="00881880"/>
    <w:rsid w:val="00881E6A"/>
    <w:rsid w:val="008929A5"/>
    <w:rsid w:val="00894352"/>
    <w:rsid w:val="00896A66"/>
    <w:rsid w:val="00897235"/>
    <w:rsid w:val="008A2149"/>
    <w:rsid w:val="008A2416"/>
    <w:rsid w:val="008A3201"/>
    <w:rsid w:val="008A5523"/>
    <w:rsid w:val="008A7549"/>
    <w:rsid w:val="008B012D"/>
    <w:rsid w:val="008B2E44"/>
    <w:rsid w:val="008C0F1B"/>
    <w:rsid w:val="008C2D55"/>
    <w:rsid w:val="008D5B66"/>
    <w:rsid w:val="008D5F6C"/>
    <w:rsid w:val="008D7CC2"/>
    <w:rsid w:val="008E6F18"/>
    <w:rsid w:val="008F26AC"/>
    <w:rsid w:val="008F557E"/>
    <w:rsid w:val="008F5FEF"/>
    <w:rsid w:val="0090137D"/>
    <w:rsid w:val="00906691"/>
    <w:rsid w:val="009121A2"/>
    <w:rsid w:val="009149AA"/>
    <w:rsid w:val="00921733"/>
    <w:rsid w:val="00922DDC"/>
    <w:rsid w:val="00924513"/>
    <w:rsid w:val="00931027"/>
    <w:rsid w:val="0093340B"/>
    <w:rsid w:val="00935ECA"/>
    <w:rsid w:val="00957351"/>
    <w:rsid w:val="0096036E"/>
    <w:rsid w:val="00960B52"/>
    <w:rsid w:val="00962D3C"/>
    <w:rsid w:val="00966CCA"/>
    <w:rsid w:val="00977FE3"/>
    <w:rsid w:val="00980208"/>
    <w:rsid w:val="00985D92"/>
    <w:rsid w:val="00985EFA"/>
    <w:rsid w:val="009920EB"/>
    <w:rsid w:val="009977E8"/>
    <w:rsid w:val="009A4C29"/>
    <w:rsid w:val="009B3326"/>
    <w:rsid w:val="009E10AA"/>
    <w:rsid w:val="009E47B2"/>
    <w:rsid w:val="009E75DD"/>
    <w:rsid w:val="009F0260"/>
    <w:rsid w:val="009F151D"/>
    <w:rsid w:val="00A02957"/>
    <w:rsid w:val="00A15AB7"/>
    <w:rsid w:val="00A17DB2"/>
    <w:rsid w:val="00A33398"/>
    <w:rsid w:val="00A35C41"/>
    <w:rsid w:val="00A40767"/>
    <w:rsid w:val="00A4206A"/>
    <w:rsid w:val="00A46390"/>
    <w:rsid w:val="00A6505F"/>
    <w:rsid w:val="00A658F1"/>
    <w:rsid w:val="00A65B7C"/>
    <w:rsid w:val="00A9570D"/>
    <w:rsid w:val="00A9793B"/>
    <w:rsid w:val="00AB79C8"/>
    <w:rsid w:val="00AC2862"/>
    <w:rsid w:val="00AD3A3C"/>
    <w:rsid w:val="00AE5645"/>
    <w:rsid w:val="00AE7B5E"/>
    <w:rsid w:val="00AF060C"/>
    <w:rsid w:val="00AF4C44"/>
    <w:rsid w:val="00B0768C"/>
    <w:rsid w:val="00B209E5"/>
    <w:rsid w:val="00B334FE"/>
    <w:rsid w:val="00B36E05"/>
    <w:rsid w:val="00B40784"/>
    <w:rsid w:val="00B47826"/>
    <w:rsid w:val="00B54108"/>
    <w:rsid w:val="00B612F5"/>
    <w:rsid w:val="00B61C6A"/>
    <w:rsid w:val="00B66C88"/>
    <w:rsid w:val="00B73365"/>
    <w:rsid w:val="00B73D59"/>
    <w:rsid w:val="00B77095"/>
    <w:rsid w:val="00B839AB"/>
    <w:rsid w:val="00B865B4"/>
    <w:rsid w:val="00B90EA7"/>
    <w:rsid w:val="00BB049A"/>
    <w:rsid w:val="00BB2157"/>
    <w:rsid w:val="00BC5723"/>
    <w:rsid w:val="00BE4B20"/>
    <w:rsid w:val="00BF1335"/>
    <w:rsid w:val="00BF2777"/>
    <w:rsid w:val="00BF5811"/>
    <w:rsid w:val="00BF70AD"/>
    <w:rsid w:val="00C019A5"/>
    <w:rsid w:val="00C02EEB"/>
    <w:rsid w:val="00C03A31"/>
    <w:rsid w:val="00C107CB"/>
    <w:rsid w:val="00C12596"/>
    <w:rsid w:val="00C14D1E"/>
    <w:rsid w:val="00C177E1"/>
    <w:rsid w:val="00C220A3"/>
    <w:rsid w:val="00C26655"/>
    <w:rsid w:val="00C26B3F"/>
    <w:rsid w:val="00C42C85"/>
    <w:rsid w:val="00C5196B"/>
    <w:rsid w:val="00C6665D"/>
    <w:rsid w:val="00C81535"/>
    <w:rsid w:val="00C83870"/>
    <w:rsid w:val="00C938CB"/>
    <w:rsid w:val="00C9579D"/>
    <w:rsid w:val="00CA3AE0"/>
    <w:rsid w:val="00CB2182"/>
    <w:rsid w:val="00CB3554"/>
    <w:rsid w:val="00CB3E56"/>
    <w:rsid w:val="00CB40D9"/>
    <w:rsid w:val="00CB5ADB"/>
    <w:rsid w:val="00CB60DF"/>
    <w:rsid w:val="00CB724C"/>
    <w:rsid w:val="00CB78EC"/>
    <w:rsid w:val="00CB7D48"/>
    <w:rsid w:val="00CC5037"/>
    <w:rsid w:val="00CC58C1"/>
    <w:rsid w:val="00CC6CD8"/>
    <w:rsid w:val="00CD1F25"/>
    <w:rsid w:val="00CD3A1F"/>
    <w:rsid w:val="00CD7D4B"/>
    <w:rsid w:val="00CE257F"/>
    <w:rsid w:val="00CE31C9"/>
    <w:rsid w:val="00CF1520"/>
    <w:rsid w:val="00CF318B"/>
    <w:rsid w:val="00CF520E"/>
    <w:rsid w:val="00D1119F"/>
    <w:rsid w:val="00D11A45"/>
    <w:rsid w:val="00D1320D"/>
    <w:rsid w:val="00D163E0"/>
    <w:rsid w:val="00D25846"/>
    <w:rsid w:val="00D26F2E"/>
    <w:rsid w:val="00D57A95"/>
    <w:rsid w:val="00D672B5"/>
    <w:rsid w:val="00D7035C"/>
    <w:rsid w:val="00D73F7B"/>
    <w:rsid w:val="00D77652"/>
    <w:rsid w:val="00D82FC1"/>
    <w:rsid w:val="00D84248"/>
    <w:rsid w:val="00D87F34"/>
    <w:rsid w:val="00D92776"/>
    <w:rsid w:val="00D94281"/>
    <w:rsid w:val="00D94A82"/>
    <w:rsid w:val="00D958D4"/>
    <w:rsid w:val="00D97247"/>
    <w:rsid w:val="00DA2B10"/>
    <w:rsid w:val="00DB3C7F"/>
    <w:rsid w:val="00DB4CA4"/>
    <w:rsid w:val="00DB67B8"/>
    <w:rsid w:val="00DD71C1"/>
    <w:rsid w:val="00DD77A2"/>
    <w:rsid w:val="00DE1B34"/>
    <w:rsid w:val="00DF2C3F"/>
    <w:rsid w:val="00DF7FB4"/>
    <w:rsid w:val="00E03E93"/>
    <w:rsid w:val="00E05386"/>
    <w:rsid w:val="00E10352"/>
    <w:rsid w:val="00E130F3"/>
    <w:rsid w:val="00E17841"/>
    <w:rsid w:val="00E234D7"/>
    <w:rsid w:val="00E27D17"/>
    <w:rsid w:val="00E410C1"/>
    <w:rsid w:val="00E42515"/>
    <w:rsid w:val="00E42FBD"/>
    <w:rsid w:val="00E50F82"/>
    <w:rsid w:val="00E61B0E"/>
    <w:rsid w:val="00E62F71"/>
    <w:rsid w:val="00E72A69"/>
    <w:rsid w:val="00E834E2"/>
    <w:rsid w:val="00E9023B"/>
    <w:rsid w:val="00EB7B44"/>
    <w:rsid w:val="00EB7DE4"/>
    <w:rsid w:val="00EB7F19"/>
    <w:rsid w:val="00EC3A09"/>
    <w:rsid w:val="00ED7A2B"/>
    <w:rsid w:val="00EF5960"/>
    <w:rsid w:val="00F03AB5"/>
    <w:rsid w:val="00F04F23"/>
    <w:rsid w:val="00F05734"/>
    <w:rsid w:val="00F07812"/>
    <w:rsid w:val="00F1024D"/>
    <w:rsid w:val="00F11E47"/>
    <w:rsid w:val="00F16727"/>
    <w:rsid w:val="00F1702D"/>
    <w:rsid w:val="00F22680"/>
    <w:rsid w:val="00F23336"/>
    <w:rsid w:val="00F31CE7"/>
    <w:rsid w:val="00F35365"/>
    <w:rsid w:val="00F44547"/>
    <w:rsid w:val="00F44857"/>
    <w:rsid w:val="00F52817"/>
    <w:rsid w:val="00F7141A"/>
    <w:rsid w:val="00F7421A"/>
    <w:rsid w:val="00F81D1F"/>
    <w:rsid w:val="00F84F2D"/>
    <w:rsid w:val="00F964E6"/>
    <w:rsid w:val="00FA687B"/>
    <w:rsid w:val="00FB1E0B"/>
    <w:rsid w:val="00FB560D"/>
    <w:rsid w:val="00FC601E"/>
    <w:rsid w:val="00FD3961"/>
    <w:rsid w:val="00FD6049"/>
    <w:rsid w:val="00FF371F"/>
    <w:rsid w:val="00FF6A71"/>
    <w:rsid w:val="00FF7B38"/>
  </w:rsids>
  <m:mathPr>
    <m:mathFont m:val="Cambria Math"/>
    <m:brkBin m:val="before"/>
    <m:brkBinSub m:val="--"/>
    <m:smallFrac m:val="off"/>
    <m:dispDef/>
    <m:lMargin m:val="0"/>
    <m:rMargin m:val="0"/>
    <m:defJc m:val="centerGroup"/>
    <m:wrapIndent m:val="1440"/>
    <m:intLim m:val="subSup"/>
    <m:naryLim m:val="undOvr"/>
  </m:mathPr>
  <w:uiCompat97To2003/>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1DF3"/>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1DF3"/>
    <w:pPr>
      <w:ind w:left="720"/>
    </w:pPr>
  </w:style>
  <w:style w:type="table" w:styleId="TableGrid">
    <w:name w:val="Table Grid"/>
    <w:basedOn w:val="TableNormal"/>
    <w:uiPriority w:val="59"/>
    <w:rsid w:val="002D77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55137C"/>
    <w:pPr>
      <w:tabs>
        <w:tab w:val="center" w:pos="4513"/>
        <w:tab w:val="right" w:pos="9026"/>
      </w:tabs>
    </w:pPr>
  </w:style>
  <w:style w:type="character" w:customStyle="1" w:styleId="HeaderChar">
    <w:name w:val="Header Char"/>
    <w:basedOn w:val="DefaultParagraphFont"/>
    <w:link w:val="Header"/>
    <w:uiPriority w:val="99"/>
    <w:semiHidden/>
    <w:rsid w:val="0055137C"/>
    <w:rPr>
      <w:sz w:val="22"/>
      <w:szCs w:val="22"/>
      <w:lang w:eastAsia="en-US"/>
    </w:rPr>
  </w:style>
  <w:style w:type="paragraph" w:styleId="Footer">
    <w:name w:val="footer"/>
    <w:basedOn w:val="Normal"/>
    <w:link w:val="FooterChar"/>
    <w:uiPriority w:val="99"/>
    <w:unhideWhenUsed/>
    <w:rsid w:val="0055137C"/>
    <w:pPr>
      <w:tabs>
        <w:tab w:val="center" w:pos="4513"/>
        <w:tab w:val="right" w:pos="9026"/>
      </w:tabs>
    </w:pPr>
  </w:style>
  <w:style w:type="character" w:customStyle="1" w:styleId="FooterChar">
    <w:name w:val="Footer Char"/>
    <w:basedOn w:val="DefaultParagraphFont"/>
    <w:link w:val="Footer"/>
    <w:uiPriority w:val="99"/>
    <w:rsid w:val="0055137C"/>
    <w:rPr>
      <w:sz w:val="22"/>
      <w:szCs w:val="22"/>
      <w:lang w:eastAsia="en-US"/>
    </w:rPr>
  </w:style>
  <w:style w:type="paragraph" w:styleId="Caption">
    <w:name w:val="caption"/>
    <w:basedOn w:val="Normal"/>
    <w:next w:val="Normal"/>
    <w:uiPriority w:val="35"/>
    <w:unhideWhenUsed/>
    <w:qFormat/>
    <w:rsid w:val="00434E8D"/>
    <w:pPr>
      <w:spacing w:after="200" w:line="276" w:lineRule="auto"/>
    </w:pPr>
    <w:rPr>
      <w:b/>
      <w:bCs/>
      <w:sz w:val="20"/>
      <w:szCs w:val="20"/>
    </w:rPr>
  </w:style>
  <w:style w:type="character" w:styleId="CommentReference">
    <w:name w:val="annotation reference"/>
    <w:basedOn w:val="DefaultParagraphFont"/>
    <w:uiPriority w:val="99"/>
    <w:semiHidden/>
    <w:unhideWhenUsed/>
    <w:rsid w:val="00D84248"/>
    <w:rPr>
      <w:sz w:val="16"/>
      <w:szCs w:val="16"/>
    </w:rPr>
  </w:style>
  <w:style w:type="paragraph" w:styleId="CommentText">
    <w:name w:val="annotation text"/>
    <w:basedOn w:val="Normal"/>
    <w:link w:val="CommentTextChar"/>
    <w:uiPriority w:val="99"/>
    <w:semiHidden/>
    <w:unhideWhenUsed/>
    <w:rsid w:val="00D84248"/>
    <w:rPr>
      <w:sz w:val="20"/>
      <w:szCs w:val="20"/>
    </w:rPr>
  </w:style>
  <w:style w:type="character" w:customStyle="1" w:styleId="CommentTextChar">
    <w:name w:val="Comment Text Char"/>
    <w:basedOn w:val="DefaultParagraphFont"/>
    <w:link w:val="CommentText"/>
    <w:uiPriority w:val="99"/>
    <w:semiHidden/>
    <w:rsid w:val="00D84248"/>
    <w:rPr>
      <w:lang w:eastAsia="en-US"/>
    </w:rPr>
  </w:style>
  <w:style w:type="paragraph" w:styleId="CommentSubject">
    <w:name w:val="annotation subject"/>
    <w:basedOn w:val="CommentText"/>
    <w:next w:val="CommentText"/>
    <w:link w:val="CommentSubjectChar"/>
    <w:uiPriority w:val="99"/>
    <w:semiHidden/>
    <w:unhideWhenUsed/>
    <w:rsid w:val="00D84248"/>
    <w:rPr>
      <w:b/>
      <w:bCs/>
    </w:rPr>
  </w:style>
  <w:style w:type="character" w:customStyle="1" w:styleId="CommentSubjectChar">
    <w:name w:val="Comment Subject Char"/>
    <w:basedOn w:val="CommentTextChar"/>
    <w:link w:val="CommentSubject"/>
    <w:uiPriority w:val="99"/>
    <w:semiHidden/>
    <w:rsid w:val="00D84248"/>
    <w:rPr>
      <w:b/>
      <w:bCs/>
    </w:rPr>
  </w:style>
  <w:style w:type="paragraph" w:styleId="BalloonText">
    <w:name w:val="Balloon Text"/>
    <w:basedOn w:val="Normal"/>
    <w:link w:val="BalloonTextChar"/>
    <w:uiPriority w:val="99"/>
    <w:semiHidden/>
    <w:unhideWhenUsed/>
    <w:rsid w:val="00D84248"/>
    <w:rPr>
      <w:rFonts w:ascii="Tahoma" w:hAnsi="Tahoma" w:cs="Tahoma"/>
      <w:sz w:val="16"/>
      <w:szCs w:val="16"/>
    </w:rPr>
  </w:style>
  <w:style w:type="character" w:customStyle="1" w:styleId="BalloonTextChar">
    <w:name w:val="Balloon Text Char"/>
    <w:basedOn w:val="DefaultParagraphFont"/>
    <w:link w:val="BalloonText"/>
    <w:uiPriority w:val="99"/>
    <w:semiHidden/>
    <w:rsid w:val="00D84248"/>
    <w:rPr>
      <w:rFonts w:ascii="Tahoma" w:hAnsi="Tahoma" w:cs="Tahoma"/>
      <w:sz w:val="16"/>
      <w:szCs w:val="16"/>
      <w:lang w:eastAsia="en-US"/>
    </w:rPr>
  </w:style>
  <w:style w:type="character" w:customStyle="1" w:styleId="AERtextbold">
    <w:name w:val="AER text bold"/>
    <w:qFormat/>
    <w:rsid w:val="001A22A7"/>
    <w:rPr>
      <w:b/>
    </w:rPr>
  </w:style>
  <w:style w:type="paragraph" w:customStyle="1" w:styleId="AERbodytextnospace">
    <w:name w:val="AER body text no space"/>
    <w:basedOn w:val="Normal"/>
    <w:qFormat/>
    <w:rsid w:val="001A22A7"/>
    <w:pPr>
      <w:spacing w:line="288" w:lineRule="auto"/>
      <w:jc w:val="both"/>
    </w:pPr>
    <w:rPr>
      <w:rFonts w:ascii="Gautami" w:eastAsia="Times New Roman" w:hAnsi="Gautami"/>
      <w:sz w:val="20"/>
      <w:szCs w:val="24"/>
    </w:rPr>
  </w:style>
  <w:style w:type="paragraph" w:styleId="Revision">
    <w:name w:val="Revision"/>
    <w:hidden/>
    <w:uiPriority w:val="99"/>
    <w:semiHidden/>
    <w:rsid w:val="0014474A"/>
    <w:rPr>
      <w:sz w:val="22"/>
      <w:szCs w:val="22"/>
      <w:lang w:eastAsia="en-US"/>
    </w:rPr>
  </w:style>
  <w:style w:type="paragraph" w:customStyle="1" w:styleId="Default">
    <w:name w:val="Default"/>
    <w:rsid w:val="0051305A"/>
    <w:pPr>
      <w:autoSpaceDE w:val="0"/>
      <w:autoSpaceDN w:val="0"/>
      <w:adjustRightInd w:val="0"/>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divs>
    <w:div w:id="404840564">
      <w:bodyDiv w:val="1"/>
      <w:marLeft w:val="0"/>
      <w:marRight w:val="0"/>
      <w:marTop w:val="0"/>
      <w:marBottom w:val="0"/>
      <w:divBdr>
        <w:top w:val="none" w:sz="0" w:space="0" w:color="auto"/>
        <w:left w:val="none" w:sz="0" w:space="0" w:color="auto"/>
        <w:bottom w:val="none" w:sz="0" w:space="0" w:color="auto"/>
        <w:right w:val="none" w:sz="0" w:space="0" w:color="auto"/>
      </w:divBdr>
    </w:div>
    <w:div w:id="583298665">
      <w:bodyDiv w:val="1"/>
      <w:marLeft w:val="0"/>
      <w:marRight w:val="0"/>
      <w:marTop w:val="0"/>
      <w:marBottom w:val="0"/>
      <w:divBdr>
        <w:top w:val="none" w:sz="0" w:space="0" w:color="auto"/>
        <w:left w:val="none" w:sz="0" w:space="0" w:color="auto"/>
        <w:bottom w:val="none" w:sz="0" w:space="0" w:color="auto"/>
        <w:right w:val="none" w:sz="0" w:space="0" w:color="auto"/>
      </w:divBdr>
    </w:div>
    <w:div w:id="1298800970">
      <w:bodyDiv w:val="1"/>
      <w:marLeft w:val="0"/>
      <w:marRight w:val="0"/>
      <w:marTop w:val="0"/>
      <w:marBottom w:val="0"/>
      <w:divBdr>
        <w:top w:val="none" w:sz="0" w:space="0" w:color="auto"/>
        <w:left w:val="none" w:sz="0" w:space="0" w:color="auto"/>
        <w:bottom w:val="none" w:sz="0" w:space="0" w:color="auto"/>
        <w:right w:val="none" w:sz="0" w:space="0" w:color="auto"/>
      </w:divBdr>
    </w:div>
    <w:div w:id="1925724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05DA1D-5D52-49F4-B37C-2CCDF841D4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1959</Words>
  <Characters>11171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ACCC</Company>
  <LinksUpToDate>false</LinksUpToDate>
  <CharactersWithSpaces>13104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lirla</dc:creator>
  <cp:keywords/>
  <dc:description/>
  <cp:lastModifiedBy>mleco</cp:lastModifiedBy>
  <cp:revision>3</cp:revision>
  <cp:lastPrinted>2013-01-23T22:02:00Z</cp:lastPrinted>
  <dcterms:created xsi:type="dcterms:W3CDTF">2013-02-05T04:33:00Z</dcterms:created>
  <dcterms:modified xsi:type="dcterms:W3CDTF">2013-02-05T04:33:00Z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I">
    <vt:lpwstr>7915887</vt:lpwstr>
  </property>
  <property fmtid="{D5CDD505-2E9C-101B-9397-08002B2CF9AE}" pid="3" name="currfile">
    <vt:lpwstr>\\cbrvpwxfs01\home$\mleco\12 february working group agen (D2013-00007074).docx</vt:lpwstr>
  </property>
  <property fmtid="{D5CDD505-2E9C-101B-9397-08002B2CF9AE}" pid="4" name="Status">
    <vt:lpwstr>Ready</vt:lpwstr>
  </property>
  <property fmtid="{D5CDD505-2E9C-101B-9397-08002B2CF9AE}" pid="5" name="DatabaseID">
    <vt:lpwstr>AC</vt:lpwstr>
  </property>
  <property fmtid="{D5CDD505-2E9C-101B-9397-08002B2CF9AE}" pid="6" name="OnClose">
    <vt:lpwstr/>
  </property>
</Properties>
</file>